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仿宋_GB2312" w:hAnsi="仿宋_GB2312" w:eastAsia="仿宋_GB2312" w:cs="仿宋_GB2312"/>
          <w:sz w:val="32"/>
          <w:szCs w:val="32"/>
          <w:lang w:val="en-US" w:eastAsia="zh-CN"/>
        </w:rPr>
        <w:t>铜府字〔2023〕2</w:t>
      </w:r>
      <w:r>
        <w:rPr>
          <w:rFonts w:hint="eastAsia" w:hAnsi="仿宋_GB2312" w:cs="仿宋_GB2312"/>
          <w:sz w:val="32"/>
          <w:szCs w:val="32"/>
          <w:lang w:val="en-US" w:eastAsia="zh-CN"/>
        </w:rPr>
        <w:t>2</w:t>
      </w:r>
      <w:r>
        <w:rPr>
          <w:rFonts w:hint="eastAsia" w:ascii="仿宋_GB2312" w:hAnsi="仿宋_GB2312" w:eastAsia="仿宋_GB2312" w:cs="仿宋_GB2312"/>
          <w:sz w:val="32"/>
          <w:szCs w:val="32"/>
          <w:lang w:val="en-US" w:eastAsia="zh-CN"/>
        </w:rPr>
        <w:t>号</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pPr>
        <w:pStyle w:val="15"/>
        <w:spacing w:before="0" w:after="0" w:line="600" w:lineRule="exact"/>
        <w:rPr>
          <w:rFonts w:hint="eastAsia" w:ascii="方正小标宋简体" w:eastAsia="方正小标宋简体" w:hAnsiTheme="minorEastAsia"/>
          <w:b w:val="0"/>
          <w:sz w:val="44"/>
          <w:szCs w:val="44"/>
        </w:rPr>
      </w:pPr>
      <w:r>
        <w:rPr>
          <w:rFonts w:hint="eastAsia" w:ascii="方正小标宋简体" w:eastAsia="方正小标宋简体" w:hAnsiTheme="minorEastAsia"/>
          <w:b w:val="0"/>
          <w:sz w:val="44"/>
          <w:szCs w:val="44"/>
        </w:rPr>
        <w:t>铜鼓县人民政府</w:t>
      </w:r>
    </w:p>
    <w:p>
      <w:pPr>
        <w:pStyle w:val="15"/>
        <w:spacing w:before="0" w:after="0" w:line="600" w:lineRule="exact"/>
        <w:rPr>
          <w:rFonts w:hint="eastAsia" w:ascii="方正小标宋简体" w:eastAsia="方正小标宋简体" w:hAnsiTheme="minorEastAsia"/>
          <w:b w:val="0"/>
          <w:bCs/>
          <w:spacing w:val="-20"/>
          <w:sz w:val="44"/>
          <w:szCs w:val="44"/>
        </w:rPr>
      </w:pPr>
      <w:r>
        <w:rPr>
          <w:rFonts w:hint="eastAsia" w:ascii="方正小标宋简体" w:eastAsia="方正小标宋简体" w:hAnsiTheme="minorEastAsia"/>
          <w:b w:val="0"/>
          <w:bCs/>
          <w:spacing w:val="-20"/>
          <w:sz w:val="44"/>
          <w:szCs w:val="44"/>
        </w:rPr>
        <w:t>关于印发《铜鼓县革命文物保护利用专项规划》的通  知</w:t>
      </w:r>
    </w:p>
    <w:p>
      <w:pPr>
        <w:pStyle w:val="15"/>
        <w:spacing w:before="0" w:after="0" w:line="600" w:lineRule="exact"/>
        <w:rPr>
          <w:rFonts w:hint="eastAsia" w:ascii="方正小标宋简体" w:eastAsia="方正小标宋简体" w:hAnsiTheme="minorEastAsia"/>
          <w:b w:val="0"/>
          <w:sz w:val="44"/>
          <w:szCs w:val="44"/>
        </w:rPr>
      </w:pPr>
    </w:p>
    <w:p>
      <w:pPr>
        <w:pStyle w:val="17"/>
        <w:spacing w:line="560" w:lineRule="exact"/>
        <w:ind w:firstLine="0" w:firstLineChars="0"/>
        <w:rPr>
          <w:rFonts w:ascii="仿宋_GB2312" w:hAnsi="仿宋_GB2312" w:eastAsia="仿宋_GB2312" w:cs="仿宋_GB2312"/>
          <w:bCs/>
        </w:rPr>
      </w:pPr>
      <w:r>
        <w:rPr>
          <w:rFonts w:hint="eastAsia" w:ascii="仿宋_GB2312" w:eastAsia="仿宋_GB2312"/>
        </w:rPr>
        <w:t>各乡（镇）人民政府，县政府各部门，县直各单位：</w:t>
      </w:r>
    </w:p>
    <w:p>
      <w:pPr>
        <w:pStyle w:val="15"/>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rPr>
          <w:rFonts w:ascii="仿宋_GB2312" w:hAnsi="仿宋_GB2312" w:eastAsia="仿宋_GB2312" w:cs="仿宋_GB2312"/>
          <w:b w:val="0"/>
        </w:rPr>
      </w:pPr>
      <w:r>
        <w:rPr>
          <w:rFonts w:hint="eastAsia" w:ascii="仿宋_GB2312" w:hAnsi="仿宋_GB2312" w:eastAsia="仿宋_GB2312" w:cs="仿宋_GB2312"/>
          <w:b w:val="0"/>
        </w:rPr>
        <w:t>经</w:t>
      </w:r>
      <w:r>
        <w:rPr>
          <w:rFonts w:hint="eastAsia" w:ascii="仿宋_GB2312" w:hAnsi="仿宋_GB2312" w:eastAsia="仿宋_GB2312" w:cs="仿宋_GB2312"/>
          <w:b w:val="0"/>
          <w:lang w:eastAsia="zh-CN"/>
        </w:rPr>
        <w:t>十七届</w:t>
      </w:r>
      <w:r>
        <w:rPr>
          <w:rFonts w:hint="eastAsia" w:ascii="仿宋_GB2312" w:hAnsi="仿宋_GB2312" w:eastAsia="仿宋_GB2312" w:cs="仿宋_GB2312"/>
          <w:b w:val="0"/>
        </w:rPr>
        <w:t>县人民政府</w:t>
      </w:r>
      <w:r>
        <w:rPr>
          <w:rFonts w:hint="eastAsia" w:ascii="仿宋_GB2312" w:hAnsi="仿宋_GB2312" w:eastAsia="仿宋_GB2312" w:cs="仿宋_GB2312"/>
          <w:b w:val="0"/>
          <w:lang w:eastAsia="zh-CN"/>
        </w:rPr>
        <w:t>第五十八次</w:t>
      </w:r>
      <w:r>
        <w:rPr>
          <w:rFonts w:hint="eastAsia" w:ascii="仿宋_GB2312" w:hAnsi="仿宋_GB2312" w:eastAsia="仿宋_GB2312" w:cs="仿宋_GB2312"/>
          <w:b w:val="0"/>
        </w:rPr>
        <w:t>常务会议研究同意，现将《铜鼓县革命文物保护利用专项规划》印发给你们，请结合实际抓好贯彻落实。</w:t>
      </w:r>
    </w:p>
    <w:p>
      <w:pPr>
        <w:pStyle w:val="15"/>
        <w:spacing w:before="0" w:after="0" w:line="600" w:lineRule="exact"/>
        <w:rPr>
          <w:rFonts w:asciiTheme="minorEastAsia" w:hAnsiTheme="minorEastAsia" w:eastAsiaTheme="minorEastAsia"/>
          <w:b w:val="0"/>
          <w:sz w:val="44"/>
          <w:szCs w:val="44"/>
        </w:rPr>
      </w:pPr>
    </w:p>
    <w:p/>
    <w:p>
      <w:pPr>
        <w:pStyle w:val="2"/>
        <w:rPr>
          <w:rFonts w:hint="default"/>
        </w:rPr>
      </w:pPr>
    </w:p>
    <w:p>
      <w:pPr>
        <w:pStyle w:val="15"/>
        <w:keepNext w:val="0"/>
        <w:keepLines w:val="0"/>
        <w:pageBreakBefore w:val="0"/>
        <w:widowControl w:val="0"/>
        <w:kinsoku/>
        <w:wordWrap/>
        <w:overflowPunct/>
        <w:topLinePunct w:val="0"/>
        <w:autoSpaceDE/>
        <w:autoSpaceDN/>
        <w:bidi w:val="0"/>
        <w:adjustRightInd/>
        <w:snapToGrid/>
        <w:spacing w:before="0" w:after="0" w:line="600" w:lineRule="exact"/>
        <w:ind w:right="1280" w:rightChars="400"/>
        <w:jc w:val="right"/>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202</w:t>
      </w:r>
      <w:r>
        <w:rPr>
          <w:rFonts w:hint="eastAsia" w:ascii="仿宋_GB2312" w:hAnsi="仿宋_GB2312" w:eastAsia="仿宋_GB2312" w:cs="仿宋_GB2312"/>
          <w:b w:val="0"/>
          <w:bCs w:val="0"/>
          <w:lang w:val="en-US" w:eastAsia="zh-CN"/>
        </w:rPr>
        <w:t>3</w:t>
      </w:r>
      <w:r>
        <w:rPr>
          <w:rFonts w:hint="eastAsia" w:ascii="仿宋_GB2312" w:hAnsi="仿宋_GB2312" w:eastAsia="仿宋_GB2312" w:cs="仿宋_GB2312"/>
          <w:b w:val="0"/>
          <w:bCs w:val="0"/>
        </w:rPr>
        <w:t>年</w:t>
      </w:r>
      <w:r>
        <w:rPr>
          <w:rFonts w:hint="eastAsia" w:ascii="仿宋_GB2312" w:hAnsi="仿宋_GB2312" w:eastAsia="仿宋_GB2312" w:cs="仿宋_GB2312"/>
          <w:b w:val="0"/>
          <w:bCs w:val="0"/>
          <w:lang w:val="en-US" w:eastAsia="zh-CN"/>
        </w:rPr>
        <w:t>7</w:t>
      </w:r>
      <w:r>
        <w:rPr>
          <w:rFonts w:hint="eastAsia" w:ascii="仿宋_GB2312" w:hAnsi="仿宋_GB2312" w:eastAsia="仿宋_GB2312" w:cs="仿宋_GB2312"/>
          <w:b w:val="0"/>
          <w:bCs w:val="0"/>
        </w:rPr>
        <w:t>月</w:t>
      </w:r>
      <w:r>
        <w:rPr>
          <w:rFonts w:hint="eastAsia" w:ascii="仿宋_GB2312" w:hAnsi="仿宋_GB2312" w:eastAsia="仿宋_GB2312" w:cs="仿宋_GB2312"/>
          <w:b w:val="0"/>
          <w:bCs w:val="0"/>
          <w:lang w:val="en-US" w:eastAsia="zh-CN"/>
        </w:rPr>
        <w:t>20</w:t>
      </w:r>
      <w:r>
        <w:rPr>
          <w:rFonts w:hint="eastAsia" w:ascii="仿宋_GB2312" w:hAnsi="仿宋_GB2312" w:eastAsia="仿宋_GB2312" w:cs="仿宋_GB2312"/>
          <w:b w:val="0"/>
          <w:bCs w:val="0"/>
        </w:rPr>
        <w:t>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eastAsia="仿宋_GB2312"/>
          <w:lang w:eastAsia="zh-CN"/>
        </w:rPr>
      </w:pPr>
      <w:r>
        <w:rPr>
          <w:rFonts w:hint="eastAsia" w:hAnsi="仿宋_GB2312" w:cs="仿宋_GB2312"/>
          <w:b w:val="0"/>
          <w:bCs w:val="0"/>
          <w:lang w:eastAsia="zh-CN"/>
        </w:rPr>
        <w:t>（此件主动公开）</w:t>
      </w:r>
    </w:p>
    <w:p>
      <w:pPr>
        <w:pStyle w:val="17"/>
        <w:spacing w:after="0" w:line="600" w:lineRule="exact"/>
        <w:ind w:left="0" w:leftChars="0" w:firstLine="0" w:firstLineChars="0"/>
        <w:jc w:val="center"/>
        <w:rPr>
          <w:rFonts w:hint="eastAsia" w:ascii="方正小标宋简体" w:hAnsi="方正大标宋简体" w:eastAsia="方正小标宋简体" w:cs="方正大标宋简体"/>
          <w:sz w:val="44"/>
          <w:szCs w:val="44"/>
        </w:rPr>
      </w:pPr>
    </w:p>
    <w:p>
      <w:pPr>
        <w:pStyle w:val="17"/>
        <w:spacing w:after="0" w:line="600" w:lineRule="exact"/>
        <w:ind w:left="0" w:leftChars="0" w:firstLine="0" w:firstLineChars="0"/>
        <w:jc w:val="center"/>
        <w:rPr>
          <w:rFonts w:ascii="方正小标宋简体" w:hAnsi="宋体" w:eastAsia="方正小标宋简体" w:cs="宋体"/>
          <w:sz w:val="44"/>
          <w:szCs w:val="44"/>
        </w:rPr>
      </w:pPr>
      <w:r>
        <w:rPr>
          <w:rFonts w:hint="eastAsia" w:ascii="方正小标宋简体" w:hAnsi="方正大标宋简体" w:eastAsia="方正小标宋简体" w:cs="方正大标宋简体"/>
          <w:sz w:val="44"/>
          <w:szCs w:val="44"/>
        </w:rPr>
        <w:t>铜鼓县革命文物保护利用专项规划</w:t>
      </w:r>
    </w:p>
    <w:p>
      <w:pPr>
        <w:pStyle w:val="14"/>
        <w:spacing w:before="0" w:beforeAutospacing="0" w:after="0" w:afterAutospacing="0" w:line="600" w:lineRule="exact"/>
        <w:ind w:firstLine="2530" w:firstLineChars="900"/>
        <w:rPr>
          <w:rStyle w:val="21"/>
          <w:rFonts w:ascii="黑体" w:hAnsi="黑体" w:eastAsia="黑体" w:cs="黑体"/>
          <w:sz w:val="28"/>
          <w:szCs w:val="28"/>
          <w:shd w:val="clear" w:color="auto" w:fill="FFFFFF"/>
        </w:rPr>
      </w:pPr>
    </w:p>
    <w:p>
      <w:pPr>
        <w:pStyle w:val="14"/>
        <w:spacing w:before="0" w:beforeAutospacing="0" w:after="0" w:afterAutospacing="0" w:line="600" w:lineRule="exact"/>
        <w:ind w:firstLine="2891" w:firstLineChars="900"/>
        <w:rPr>
          <w:rStyle w:val="21"/>
          <w:rFonts w:asciiTheme="majorEastAsia" w:hAnsiTheme="majorEastAsia" w:eastAsiaTheme="majorEastAsia" w:cstheme="majorEastAsia"/>
          <w:sz w:val="32"/>
          <w:szCs w:val="32"/>
          <w:shd w:val="clear" w:color="auto" w:fill="FFFFFF"/>
        </w:rPr>
      </w:pPr>
      <w:r>
        <w:rPr>
          <w:rStyle w:val="21"/>
          <w:rFonts w:hint="eastAsia" w:ascii="黑体" w:hAnsi="黑体" w:eastAsia="黑体" w:cs="黑体"/>
          <w:sz w:val="32"/>
          <w:szCs w:val="32"/>
          <w:shd w:val="clear" w:color="auto" w:fill="FFFFFF"/>
        </w:rPr>
        <w:t>第一章    总  则</w:t>
      </w:r>
    </w:p>
    <w:p>
      <w:pPr>
        <w:pStyle w:val="14"/>
        <w:spacing w:before="0" w:beforeAutospacing="0" w:after="0" w:afterAutospacing="0" w:line="600" w:lineRule="exact"/>
        <w:ind w:firstLine="640" w:firstLineChars="200"/>
        <w:rPr>
          <w:rFonts w:ascii="黑体" w:hAnsi="黑体" w:eastAsia="黑体" w:cs="楷体"/>
          <w:b/>
          <w:sz w:val="32"/>
          <w:szCs w:val="32"/>
        </w:rPr>
      </w:pPr>
      <w:r>
        <w:rPr>
          <w:rStyle w:val="21"/>
          <w:rFonts w:hint="eastAsia" w:ascii="黑体" w:hAnsi="黑体" w:eastAsia="黑体" w:cs="楷体"/>
          <w:b w:val="0"/>
          <w:sz w:val="32"/>
          <w:szCs w:val="32"/>
          <w:shd w:val="clear" w:color="auto" w:fill="FFFFFF"/>
        </w:rPr>
        <w:t>一、规划背景</w:t>
      </w:r>
    </w:p>
    <w:p>
      <w:pPr>
        <w:pStyle w:val="14"/>
        <w:spacing w:before="0" w:beforeAutospacing="0" w:after="0" w:afterAutospacing="0" w:line="600" w:lineRule="exact"/>
        <w:ind w:firstLine="640" w:firstLineChars="200"/>
        <w:rPr>
          <w:rFonts w:ascii="黑体" w:hAnsi="黑体" w:eastAsia="黑体" w:cs="楷体"/>
          <w:bCs/>
          <w:sz w:val="32"/>
          <w:szCs w:val="32"/>
          <w:shd w:val="clear" w:color="auto" w:fill="FFFFFF"/>
        </w:rPr>
      </w:pPr>
      <w:r>
        <w:rPr>
          <w:rFonts w:hint="eastAsia" w:ascii="黑体" w:hAnsi="黑体" w:eastAsia="黑体" w:cs="楷体"/>
          <w:bCs/>
          <w:sz w:val="32"/>
          <w:szCs w:val="32"/>
          <w:shd w:val="clear" w:color="auto" w:fill="FFFFFF"/>
        </w:rPr>
        <w:t>二、规划依据</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 xml:space="preserve">（一）国家法律法规 </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 xml:space="preserve">（二）国家标准和行业标准 </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 xml:space="preserve">（三）政策文件和相关规划 </w:t>
      </w:r>
    </w:p>
    <w:p>
      <w:pPr>
        <w:pStyle w:val="14"/>
        <w:spacing w:before="0" w:beforeAutospacing="0" w:after="0" w:afterAutospacing="0" w:line="600" w:lineRule="exact"/>
        <w:ind w:firstLine="640" w:firstLineChars="200"/>
        <w:rPr>
          <w:rStyle w:val="21"/>
          <w:rFonts w:ascii="黑体" w:hAnsi="黑体" w:eastAsia="黑体"/>
          <w:b w:val="0"/>
          <w:sz w:val="32"/>
          <w:szCs w:val="32"/>
        </w:rPr>
      </w:pPr>
      <w:r>
        <w:rPr>
          <w:rStyle w:val="21"/>
          <w:rFonts w:hint="eastAsia" w:ascii="黑体" w:hAnsi="黑体" w:eastAsia="黑体"/>
          <w:b w:val="0"/>
          <w:sz w:val="32"/>
          <w:szCs w:val="32"/>
        </w:rPr>
        <w:t>三、规划范围</w:t>
      </w:r>
      <w:bookmarkStart w:id="0" w:name="_GoBack"/>
      <w:bookmarkEnd w:id="0"/>
    </w:p>
    <w:p>
      <w:pPr>
        <w:pStyle w:val="14"/>
        <w:spacing w:before="0" w:beforeAutospacing="0" w:after="0" w:afterAutospacing="0" w:line="600" w:lineRule="exact"/>
        <w:ind w:firstLine="640" w:firstLineChars="200"/>
        <w:rPr>
          <w:rStyle w:val="21"/>
          <w:rFonts w:ascii="黑体" w:hAnsi="黑体" w:eastAsia="黑体"/>
          <w:b w:val="0"/>
          <w:sz w:val="32"/>
          <w:szCs w:val="32"/>
        </w:rPr>
      </w:pPr>
      <w:r>
        <w:rPr>
          <w:rStyle w:val="21"/>
          <w:rFonts w:hint="eastAsia" w:ascii="黑体" w:hAnsi="黑体" w:eastAsia="黑体"/>
          <w:b w:val="0"/>
          <w:sz w:val="32"/>
          <w:szCs w:val="32"/>
        </w:rPr>
        <w:t>四、规划期限</w:t>
      </w:r>
    </w:p>
    <w:p>
      <w:pPr>
        <w:numPr>
          <w:ilvl w:val="255"/>
          <w:numId w:val="0"/>
        </w:numPr>
        <w:spacing w:line="600" w:lineRule="exact"/>
        <w:jc w:val="center"/>
        <w:rPr>
          <w:rStyle w:val="21"/>
          <w:rFonts w:asciiTheme="majorEastAsia" w:hAnsiTheme="majorEastAsia" w:eastAsiaTheme="majorEastAsia" w:cstheme="majorEastAsia"/>
          <w:szCs w:val="32"/>
          <w:shd w:val="clear" w:color="auto" w:fill="FFFFFF"/>
        </w:rPr>
      </w:pPr>
      <w:r>
        <w:rPr>
          <w:rFonts w:hint="eastAsia" w:ascii="黑体" w:hAnsi="黑体" w:eastAsia="黑体" w:cs="黑体"/>
          <w:b/>
          <w:bCs/>
          <w:szCs w:val="32"/>
        </w:rPr>
        <w:t>第二章   资 源 评 估</w:t>
      </w:r>
    </w:p>
    <w:p>
      <w:pPr>
        <w:pStyle w:val="14"/>
        <w:spacing w:before="0" w:beforeAutospacing="0" w:after="0" w:afterAutospacing="0" w:line="600" w:lineRule="exact"/>
        <w:ind w:firstLine="640" w:firstLineChars="200"/>
        <w:rPr>
          <w:rFonts w:ascii="黑体" w:hAnsi="黑体" w:eastAsia="黑体" w:cs="楷体"/>
          <w:bCs/>
          <w:sz w:val="32"/>
          <w:szCs w:val="32"/>
          <w:shd w:val="clear" w:color="auto" w:fill="FFFFFF"/>
        </w:rPr>
      </w:pPr>
      <w:r>
        <w:rPr>
          <w:rFonts w:hint="eastAsia" w:ascii="黑体" w:hAnsi="黑体" w:eastAsia="黑体" w:cs="楷体"/>
          <w:bCs/>
          <w:sz w:val="32"/>
          <w:szCs w:val="32"/>
          <w:shd w:val="clear" w:color="auto" w:fill="FFFFFF"/>
        </w:rPr>
        <w:t>一、革命文物资源概况</w:t>
      </w:r>
    </w:p>
    <w:p>
      <w:pPr>
        <w:pStyle w:val="14"/>
        <w:spacing w:before="0" w:beforeAutospacing="0" w:after="0" w:afterAutospacing="0" w:line="600" w:lineRule="exact"/>
        <w:ind w:firstLine="640" w:firstLineChars="200"/>
        <w:rPr>
          <w:rFonts w:ascii="黑体" w:hAnsi="黑体" w:eastAsia="黑体" w:cs="楷体"/>
          <w:bCs/>
          <w:sz w:val="32"/>
          <w:szCs w:val="32"/>
          <w:shd w:val="clear" w:color="auto" w:fill="FFFFFF"/>
        </w:rPr>
      </w:pPr>
      <w:r>
        <w:rPr>
          <w:rFonts w:hint="eastAsia" w:ascii="黑体" w:hAnsi="黑体" w:eastAsia="黑体" w:cs="楷体"/>
          <w:bCs/>
          <w:sz w:val="32"/>
          <w:szCs w:val="32"/>
          <w:shd w:val="clear" w:color="auto" w:fill="FFFFFF"/>
        </w:rPr>
        <w:t>二、区域价值评估</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（一）铜鼓是宜春地区第一个中共党支部所在地</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（二）铜鼓是湘赣边界秋收起义主要爆发地和指挥中心</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（三）铜鼓是中国共产党建立苏维埃政权的重要实践地</w:t>
      </w:r>
    </w:p>
    <w:p>
      <w:pPr>
        <w:pStyle w:val="14"/>
        <w:spacing w:before="0" w:beforeAutospacing="0" w:after="0" w:afterAutospacing="0" w:line="600" w:lineRule="exact"/>
        <w:ind w:firstLine="640" w:firstLineChars="200"/>
        <w:rPr>
          <w:rFonts w:ascii="黑体" w:hAnsi="黑体" w:eastAsia="黑体" w:cs="楷体"/>
          <w:bCs/>
          <w:sz w:val="32"/>
          <w:szCs w:val="32"/>
          <w:shd w:val="clear" w:color="auto" w:fill="FFFFFF"/>
        </w:rPr>
      </w:pPr>
      <w:r>
        <w:rPr>
          <w:rFonts w:hint="eastAsia" w:ascii="黑体" w:hAnsi="黑体" w:eastAsia="黑体" w:cs="楷体"/>
          <w:bCs/>
          <w:sz w:val="32"/>
          <w:szCs w:val="32"/>
          <w:shd w:val="clear" w:color="auto" w:fill="FFFFFF"/>
        </w:rPr>
        <w:t>三、加强革命文物保护利用重大意义</w:t>
      </w:r>
    </w:p>
    <w:p>
      <w:pPr>
        <w:pStyle w:val="14"/>
        <w:spacing w:before="0" w:beforeAutospacing="0" w:after="0" w:afterAutospacing="0" w:line="600" w:lineRule="exact"/>
        <w:ind w:firstLine="640" w:firstLineChars="200"/>
        <w:rPr>
          <w:rFonts w:ascii="黑体" w:hAnsi="黑体" w:eastAsia="黑体" w:cs="楷体"/>
          <w:bCs/>
          <w:sz w:val="32"/>
          <w:szCs w:val="32"/>
          <w:shd w:val="clear" w:color="auto" w:fill="FFFFFF"/>
        </w:rPr>
      </w:pPr>
      <w:r>
        <w:rPr>
          <w:rFonts w:hint="eastAsia" w:ascii="黑体" w:hAnsi="黑体" w:eastAsia="黑体" w:cs="楷体"/>
          <w:bCs/>
          <w:sz w:val="32"/>
          <w:szCs w:val="32"/>
          <w:shd w:val="clear" w:color="auto" w:fill="FFFFFF"/>
        </w:rPr>
        <w:t>四、革命文物保护利用工作总体研判</w:t>
      </w:r>
    </w:p>
    <w:p>
      <w:pPr>
        <w:spacing w:line="600" w:lineRule="exact"/>
        <w:ind w:firstLine="643" w:firstLineChars="200"/>
        <w:rPr>
          <w:rFonts w:ascii="楷体_GB2312" w:eastAsia="楷体_GB2312"/>
          <w:b/>
          <w:bCs/>
          <w:szCs w:val="40"/>
        </w:rPr>
      </w:pPr>
      <w:r>
        <w:rPr>
          <w:rFonts w:hint="eastAsia" w:ascii="楷体_GB2312" w:eastAsia="楷体_GB2312"/>
          <w:b/>
          <w:bCs/>
          <w:szCs w:val="40"/>
        </w:rPr>
        <w:t>（一）铜鼓革命文物保护利用的优势</w:t>
      </w:r>
    </w:p>
    <w:p>
      <w:pPr>
        <w:spacing w:line="600" w:lineRule="exact"/>
        <w:ind w:firstLine="643" w:firstLineChars="200"/>
        <w:rPr>
          <w:rFonts w:ascii="楷体_GB2312" w:eastAsia="楷体_GB2312" w:hAnsiTheme="majorEastAsia" w:cstheme="majorEastAsia"/>
          <w:b/>
          <w:bCs/>
          <w:sz w:val="48"/>
          <w:szCs w:val="48"/>
        </w:rPr>
      </w:pPr>
      <w:r>
        <w:rPr>
          <w:rFonts w:hint="eastAsia" w:ascii="楷体_GB2312" w:eastAsia="楷体_GB2312"/>
          <w:b/>
          <w:bCs/>
          <w:szCs w:val="40"/>
        </w:rPr>
        <w:t>（二）铜鼓革命文物保护利用的不足</w:t>
      </w:r>
    </w:p>
    <w:p>
      <w:pPr>
        <w:spacing w:line="600" w:lineRule="exact"/>
        <w:ind w:firstLine="2891" w:firstLineChars="900"/>
        <w:jc w:val="left"/>
        <w:rPr>
          <w:rFonts w:asciiTheme="majorEastAsia" w:hAnsiTheme="majorEastAsia" w:eastAsiaTheme="majorEastAsia" w:cstheme="majorEastAsia"/>
          <w:szCs w:val="32"/>
          <w:shd w:val="clear" w:color="auto" w:fill="FFFFFF"/>
        </w:rPr>
      </w:pPr>
      <w:r>
        <w:rPr>
          <w:rFonts w:hint="eastAsia" w:ascii="黑体" w:hAnsi="黑体" w:eastAsia="黑体" w:cs="黑体"/>
          <w:b/>
          <w:bCs/>
          <w:szCs w:val="32"/>
        </w:rPr>
        <w:t>第三章    总 体 要 求</w:t>
      </w:r>
    </w:p>
    <w:p>
      <w:pPr>
        <w:pStyle w:val="14"/>
        <w:spacing w:before="0" w:beforeAutospacing="0" w:after="0" w:afterAutospacing="0" w:line="600" w:lineRule="exact"/>
        <w:ind w:firstLine="640" w:firstLineChars="200"/>
        <w:rPr>
          <w:rFonts w:ascii="黑体" w:hAnsi="黑体" w:eastAsia="黑体" w:cs="楷体"/>
          <w:sz w:val="32"/>
          <w:szCs w:val="32"/>
        </w:rPr>
      </w:pPr>
      <w:r>
        <w:rPr>
          <w:rFonts w:hint="eastAsia" w:ascii="黑体" w:hAnsi="黑体" w:eastAsia="黑体" w:cs="楷体"/>
          <w:sz w:val="32"/>
          <w:szCs w:val="32"/>
          <w:shd w:val="clear" w:color="auto" w:fill="FFFFFF"/>
        </w:rPr>
        <w:t>一、指导思想</w:t>
      </w:r>
    </w:p>
    <w:p>
      <w:pPr>
        <w:pStyle w:val="14"/>
        <w:spacing w:before="0" w:beforeAutospacing="0" w:after="0" w:afterAutospacing="0" w:line="600" w:lineRule="exact"/>
        <w:ind w:firstLine="640" w:firstLineChars="200"/>
        <w:rPr>
          <w:rFonts w:ascii="黑体" w:hAnsi="黑体" w:eastAsia="黑体" w:cs="楷体"/>
          <w:sz w:val="32"/>
          <w:szCs w:val="32"/>
        </w:rPr>
      </w:pPr>
      <w:r>
        <w:rPr>
          <w:rFonts w:hint="eastAsia" w:ascii="黑体" w:hAnsi="黑体" w:eastAsia="黑体" w:cs="楷体"/>
          <w:sz w:val="32"/>
          <w:szCs w:val="32"/>
          <w:shd w:val="clear" w:color="auto" w:fill="FFFFFF"/>
        </w:rPr>
        <w:t>二、基本原则</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——坚持党的领导，服务大局</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——坚持科学保护，合理开发</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——坚持守正创新，教育为重</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——坚持共建共享，融合发展</w:t>
      </w:r>
    </w:p>
    <w:p>
      <w:pPr>
        <w:pStyle w:val="14"/>
        <w:spacing w:before="0" w:beforeAutospacing="0" w:after="0" w:afterAutospacing="0" w:line="600" w:lineRule="exact"/>
        <w:ind w:firstLine="640" w:firstLineChars="200"/>
        <w:jc w:val="both"/>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三、战略定位</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（一）打造红色基因传承高地</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（二）引领湘鄂赣片区革命文物保护利用的先行示范区</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（三）助力革命老区高质量发展的典范</w:t>
      </w:r>
    </w:p>
    <w:p>
      <w:pPr>
        <w:pStyle w:val="14"/>
        <w:spacing w:before="0" w:beforeAutospacing="0" w:after="0" w:afterAutospacing="0" w:line="600" w:lineRule="exact"/>
        <w:ind w:firstLine="640" w:firstLineChars="200"/>
        <w:jc w:val="both"/>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四、发展目标</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——革命文物保护良好</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——革命精神深入人心</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——革命文艺精品荟萃</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——红色产业兴旺发达</w:t>
      </w:r>
    </w:p>
    <w:p>
      <w:pPr>
        <w:pStyle w:val="14"/>
        <w:spacing w:before="0" w:beforeAutospacing="0" w:after="0" w:afterAutospacing="0" w:line="600" w:lineRule="exact"/>
        <w:ind w:firstLine="640" w:firstLineChars="200"/>
        <w:jc w:val="both"/>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五、发展布局</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——一轴牵引</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——两核支撑</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——三区协同</w:t>
      </w:r>
    </w:p>
    <w:p>
      <w:pPr>
        <w:spacing w:line="600" w:lineRule="exact"/>
        <w:ind w:firstLine="643" w:firstLineChars="200"/>
        <w:rPr>
          <w:rFonts w:ascii="楷体_GB2312" w:eastAsia="楷体_GB2312" w:hAnsiTheme="majorEastAsia" w:cstheme="majorEastAsia"/>
          <w:bCs/>
        </w:rPr>
      </w:pPr>
      <w:r>
        <w:rPr>
          <w:rFonts w:hint="eastAsia" w:ascii="楷体_GB2312" w:eastAsia="楷体_GB2312" w:hAnsiTheme="majorEastAsia" w:cstheme="majorEastAsia"/>
          <w:b/>
          <w:bCs/>
          <w:szCs w:val="32"/>
        </w:rPr>
        <w:t>——多点联动</w:t>
      </w:r>
    </w:p>
    <w:p>
      <w:pPr>
        <w:pStyle w:val="14"/>
        <w:spacing w:before="0" w:beforeAutospacing="0" w:after="0" w:afterAutospacing="0" w:line="600" w:lineRule="exact"/>
        <w:ind w:firstLine="2891" w:firstLineChars="900"/>
        <w:rPr>
          <w:rFonts w:asciiTheme="majorEastAsia" w:hAnsiTheme="majorEastAsia" w:eastAsiaTheme="majorEastAsia" w:cstheme="majorEastAsia"/>
          <w:b/>
          <w:bCs/>
          <w:sz w:val="32"/>
          <w:szCs w:val="32"/>
        </w:rPr>
      </w:pPr>
      <w:r>
        <w:rPr>
          <w:rStyle w:val="21"/>
          <w:rFonts w:hint="eastAsia" w:ascii="黑体" w:hAnsi="黑体" w:eastAsia="黑体" w:cs="黑体"/>
          <w:sz w:val="32"/>
          <w:szCs w:val="32"/>
          <w:shd w:val="clear" w:color="auto" w:fill="FFFFFF"/>
        </w:rPr>
        <w:t>第四章    主 要 任 务</w:t>
      </w:r>
    </w:p>
    <w:p>
      <w:pPr>
        <w:pStyle w:val="14"/>
        <w:spacing w:before="0" w:beforeAutospacing="0" w:after="0" w:afterAutospacing="0" w:line="600" w:lineRule="exact"/>
        <w:ind w:firstLine="640" w:firstLineChars="200"/>
        <w:jc w:val="both"/>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一、整体连片保护工程</w:t>
      </w:r>
    </w:p>
    <w:p>
      <w:pPr>
        <w:spacing w:line="600" w:lineRule="exact"/>
        <w:ind w:firstLine="643" w:firstLineChars="200"/>
        <w:rPr>
          <w:rFonts w:ascii="楷体_GB2312" w:hAnsi="楷体" w:eastAsia="楷体_GB2312" w:cs="楷体"/>
          <w:b/>
          <w:bCs/>
          <w:szCs w:val="32"/>
        </w:rPr>
      </w:pPr>
      <w:r>
        <w:rPr>
          <w:rFonts w:hint="eastAsia" w:ascii="楷体_GB2312" w:eastAsia="楷体_GB2312" w:hAnsiTheme="majorEastAsia" w:cstheme="majorEastAsia"/>
          <w:b/>
          <w:bCs/>
          <w:szCs w:val="32"/>
        </w:rPr>
        <w:t>（一）持续开展革命文物资源普查</w:t>
      </w:r>
    </w:p>
    <w:p>
      <w:pPr>
        <w:spacing w:line="600" w:lineRule="exact"/>
        <w:ind w:firstLine="643" w:firstLineChars="200"/>
        <w:rPr>
          <w:rFonts w:ascii="楷体_GB2312" w:hAnsi="宋体" w:eastAsia="楷体_GB2312" w:cs="宋体"/>
          <w:b/>
          <w:bCs/>
          <w:kern w:val="0"/>
          <w:szCs w:val="32"/>
          <w:lang w:bidi="ar"/>
        </w:rPr>
      </w:pPr>
      <w:r>
        <w:rPr>
          <w:rFonts w:hint="eastAsia" w:ascii="楷体_GB2312" w:hAnsi="宋体" w:eastAsia="楷体_GB2312" w:cs="宋体"/>
          <w:b/>
          <w:bCs/>
          <w:kern w:val="0"/>
          <w:szCs w:val="32"/>
          <w:lang w:bidi="ar"/>
        </w:rPr>
        <w:t>（二）推进整体保护</w:t>
      </w:r>
    </w:p>
    <w:p>
      <w:pPr>
        <w:spacing w:line="600" w:lineRule="exact"/>
        <w:ind w:firstLine="643" w:firstLineChars="200"/>
        <w:rPr>
          <w:rFonts w:ascii="楷体_GB2312" w:hAnsi="宋体" w:eastAsia="楷体_GB2312" w:cs="宋体"/>
          <w:b/>
          <w:bCs/>
          <w:kern w:val="0"/>
          <w:szCs w:val="32"/>
          <w:lang w:bidi="ar"/>
        </w:rPr>
      </w:pPr>
      <w:r>
        <w:rPr>
          <w:rFonts w:hint="eastAsia" w:ascii="楷体_GB2312" w:hAnsi="宋体" w:eastAsia="楷体_GB2312" w:cs="宋体"/>
          <w:b/>
          <w:bCs/>
          <w:kern w:val="0"/>
          <w:szCs w:val="32"/>
          <w:lang w:bidi="ar"/>
        </w:rPr>
        <w:t>（三）开展集中连片保护</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（四）开展革命文物定级、提级工作</w:t>
      </w:r>
    </w:p>
    <w:p>
      <w:pPr>
        <w:spacing w:line="600" w:lineRule="exact"/>
        <w:ind w:firstLine="643" w:firstLineChars="200"/>
        <w:rPr>
          <w:rFonts w:ascii="楷体_GB2312" w:eastAsia="楷体_GB2312" w:hAnsiTheme="minorEastAsia" w:cstheme="minorEastAsia"/>
          <w:b/>
          <w:bCs/>
          <w:szCs w:val="32"/>
        </w:rPr>
      </w:pPr>
      <w:r>
        <w:rPr>
          <w:rFonts w:hint="eastAsia" w:ascii="楷体_GB2312" w:eastAsia="楷体_GB2312" w:hAnsiTheme="majorEastAsia" w:cstheme="majorEastAsia"/>
          <w:b/>
          <w:bCs/>
          <w:szCs w:val="32"/>
        </w:rPr>
        <w:t>（五）</w:t>
      </w:r>
      <w:r>
        <w:rPr>
          <w:rFonts w:hint="eastAsia" w:ascii="楷体_GB2312" w:eastAsia="楷体_GB2312" w:hAnsiTheme="majorEastAsia" w:cstheme="majorEastAsia"/>
          <w:b/>
          <w:bCs/>
          <w:spacing w:val="-4"/>
          <w:szCs w:val="32"/>
        </w:rPr>
        <w:t>完善各级文物保护单位“四有”工作</w:t>
      </w:r>
    </w:p>
    <w:p>
      <w:pPr>
        <w:spacing w:line="600" w:lineRule="exact"/>
        <w:ind w:firstLine="643" w:firstLineChars="200"/>
        <w:rPr>
          <w:rFonts w:ascii="楷体_GB2312" w:eastAsia="楷体_GB2312" w:hAnsiTheme="minorEastAsia" w:cstheme="minorEastAsia"/>
          <w:b/>
          <w:bCs/>
          <w:szCs w:val="32"/>
        </w:rPr>
      </w:pPr>
      <w:r>
        <w:rPr>
          <w:rFonts w:hint="eastAsia" w:ascii="楷体_GB2312" w:eastAsia="楷体_GB2312" w:hAnsiTheme="minorEastAsia" w:cstheme="minorEastAsia"/>
          <w:b/>
          <w:bCs/>
          <w:szCs w:val="32"/>
        </w:rPr>
        <w:t>（六）动员社会力量参与革命文物保护</w:t>
      </w:r>
    </w:p>
    <w:p>
      <w:pPr>
        <w:spacing w:line="600" w:lineRule="exact"/>
        <w:ind w:firstLine="640" w:firstLineChars="200"/>
        <w:rPr>
          <w:rFonts w:ascii="黑体" w:hAnsi="黑体" w:eastAsia="黑体" w:cs="楷体"/>
          <w:szCs w:val="32"/>
          <w:shd w:val="clear" w:color="auto" w:fill="FFFFFF"/>
        </w:rPr>
      </w:pPr>
      <w:r>
        <w:rPr>
          <w:rFonts w:hint="eastAsia" w:ascii="黑体" w:hAnsi="黑体" w:eastAsia="黑体" w:cs="楷体"/>
          <w:szCs w:val="32"/>
          <w:shd w:val="clear" w:color="auto" w:fill="FFFFFF"/>
        </w:rPr>
        <w:t>二、科技保护赋能工程</w:t>
      </w:r>
    </w:p>
    <w:p>
      <w:pPr>
        <w:spacing w:line="600" w:lineRule="exact"/>
        <w:ind w:firstLine="643" w:firstLineChars="200"/>
        <w:rPr>
          <w:rFonts w:ascii="楷体_GB2312" w:eastAsia="楷体_GB2312" w:hAnsiTheme="majorEastAsia" w:cstheme="majorEastAsia"/>
          <w:b/>
          <w:bCs/>
          <w:kern w:val="0"/>
          <w:szCs w:val="32"/>
          <w:lang w:bidi="ar"/>
        </w:rPr>
      </w:pPr>
      <w:r>
        <w:rPr>
          <w:rFonts w:hint="eastAsia" w:ascii="楷体_GB2312" w:eastAsia="楷体_GB2312" w:hAnsiTheme="majorEastAsia" w:cstheme="majorEastAsia"/>
          <w:b/>
          <w:bCs/>
          <w:szCs w:val="32"/>
        </w:rPr>
        <w:t>（一）</w:t>
      </w:r>
      <w:r>
        <w:rPr>
          <w:rFonts w:hint="eastAsia" w:ascii="楷体_GB2312" w:eastAsia="楷体_GB2312" w:hAnsiTheme="majorEastAsia" w:cstheme="majorEastAsia"/>
          <w:b/>
          <w:bCs/>
          <w:kern w:val="0"/>
          <w:szCs w:val="32"/>
          <w:lang w:bidi="ar"/>
        </w:rPr>
        <w:t>搭建数字保护平台</w:t>
      </w:r>
    </w:p>
    <w:p>
      <w:pPr>
        <w:spacing w:line="600" w:lineRule="exact"/>
        <w:ind w:firstLine="643" w:firstLineChars="200"/>
        <w:rPr>
          <w:rFonts w:ascii="楷体_GB2312" w:eastAsia="楷体_GB2312" w:hAnsiTheme="majorEastAsia" w:cstheme="majorEastAsia"/>
          <w:b/>
          <w:bCs/>
          <w:spacing w:val="-8"/>
          <w:szCs w:val="32"/>
        </w:rPr>
      </w:pPr>
      <w:r>
        <w:rPr>
          <w:rFonts w:hint="eastAsia" w:ascii="楷体_GB2312" w:eastAsia="楷体_GB2312" w:hAnsiTheme="majorEastAsia" w:cstheme="majorEastAsia"/>
          <w:b/>
          <w:bCs/>
          <w:szCs w:val="32"/>
        </w:rPr>
        <w:t>（二）</w:t>
      </w:r>
      <w:r>
        <w:rPr>
          <w:rFonts w:hint="eastAsia" w:ascii="楷体_GB2312" w:eastAsia="楷体_GB2312" w:hAnsiTheme="majorEastAsia" w:cstheme="majorEastAsia"/>
          <w:b/>
          <w:bCs/>
          <w:spacing w:val="-8"/>
          <w:szCs w:val="32"/>
        </w:rPr>
        <w:t>提升数字化利用水平</w:t>
      </w:r>
    </w:p>
    <w:p>
      <w:pPr>
        <w:spacing w:line="600" w:lineRule="exact"/>
        <w:ind w:firstLine="643" w:firstLineChars="200"/>
        <w:rPr>
          <w:rFonts w:ascii="楷体_GB2312" w:eastAsia="楷体_GB2312" w:hAnsiTheme="majorEastAsia" w:cstheme="majorEastAsia"/>
          <w:b/>
          <w:bCs/>
          <w:kern w:val="0"/>
          <w:szCs w:val="32"/>
          <w:lang w:bidi="ar"/>
        </w:rPr>
      </w:pPr>
      <w:r>
        <w:rPr>
          <w:rFonts w:hint="eastAsia" w:ascii="楷体_GB2312" w:eastAsia="楷体_GB2312" w:hAnsiTheme="majorEastAsia" w:cstheme="majorEastAsia"/>
          <w:b/>
          <w:bCs/>
          <w:szCs w:val="32"/>
        </w:rPr>
        <w:t>（三）</w:t>
      </w:r>
      <w:r>
        <w:rPr>
          <w:rFonts w:hint="eastAsia" w:ascii="楷体_GB2312" w:eastAsia="楷体_GB2312" w:hAnsiTheme="majorEastAsia" w:cstheme="majorEastAsia"/>
          <w:b/>
          <w:bCs/>
          <w:kern w:val="0"/>
          <w:szCs w:val="32"/>
          <w:lang w:bidi="ar"/>
        </w:rPr>
        <w:t>开展保护修缮技术研究</w:t>
      </w:r>
    </w:p>
    <w:p>
      <w:pPr>
        <w:pStyle w:val="14"/>
        <w:spacing w:before="0" w:beforeAutospacing="0" w:after="0" w:afterAutospacing="0" w:line="600" w:lineRule="exact"/>
        <w:ind w:firstLine="640" w:firstLineChars="200"/>
        <w:jc w:val="both"/>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三、展陈质量提升工程</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（一）实施革命文物展陈精品工程</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（二）提升博物馆纪念馆展示与服务水平</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（三）推进社会力量创建博物馆</w:t>
      </w:r>
    </w:p>
    <w:p>
      <w:pPr>
        <w:pStyle w:val="14"/>
        <w:spacing w:before="0" w:beforeAutospacing="0" w:after="0" w:afterAutospacing="0" w:line="600" w:lineRule="exact"/>
        <w:ind w:firstLine="640" w:firstLineChars="200"/>
        <w:jc w:val="both"/>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四、红色基因传承工程</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（一）加强研究阐释</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（二）拓展革命纪念场馆教育功能</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（三）运用革命文物开展研学实践</w:t>
      </w:r>
    </w:p>
    <w:p>
      <w:pPr>
        <w:spacing w:line="600" w:lineRule="exact"/>
        <w:ind w:firstLine="640" w:firstLineChars="200"/>
        <w:rPr>
          <w:rFonts w:ascii="黑体" w:hAnsi="黑体" w:eastAsia="黑体" w:cs="楷体"/>
          <w:szCs w:val="32"/>
          <w:shd w:val="clear" w:color="auto" w:fill="FFFFFF"/>
        </w:rPr>
      </w:pPr>
      <w:r>
        <w:rPr>
          <w:rFonts w:hint="eastAsia" w:ascii="黑体" w:hAnsi="黑体" w:eastAsia="黑体" w:cs="楷体"/>
          <w:szCs w:val="32"/>
          <w:shd w:val="clear" w:color="auto" w:fill="FFFFFF"/>
        </w:rPr>
        <w:t>五、红色品牌宣推工程</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（一）提升品牌影响力</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（二）拓展宣传覆盖面</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（三）创新传播方式</w:t>
      </w:r>
    </w:p>
    <w:p>
      <w:pPr>
        <w:spacing w:line="600" w:lineRule="exact"/>
        <w:ind w:firstLine="640" w:firstLineChars="200"/>
        <w:rPr>
          <w:rFonts w:ascii="楷体_GB2312" w:eastAsia="楷体_GB2312" w:hAnsiTheme="majorEastAsia" w:cstheme="majorEastAsia"/>
          <w:b/>
          <w:bCs/>
          <w:szCs w:val="32"/>
        </w:rPr>
      </w:pPr>
      <w:r>
        <w:rPr>
          <w:rFonts w:hint="eastAsia" w:ascii="黑体" w:hAnsi="黑体" w:eastAsia="黑体" w:cs="楷体"/>
          <w:szCs w:val="32"/>
          <w:shd w:val="clear" w:color="auto" w:fill="FFFFFF"/>
        </w:rPr>
        <w:t>六、文旅融合发展工程</w:t>
      </w:r>
    </w:p>
    <w:p>
      <w:pPr>
        <w:spacing w:line="600" w:lineRule="exact"/>
        <w:ind w:firstLine="643" w:firstLineChars="200"/>
        <w:rPr>
          <w:rFonts w:ascii="楷体_GB2312" w:eastAsia="楷体_GB2312" w:hAnsiTheme="majorEastAsia" w:cstheme="majorEastAsia"/>
          <w:b/>
          <w:bCs/>
          <w:szCs w:val="32"/>
          <w:highlight w:val="yellow"/>
        </w:rPr>
      </w:pPr>
      <w:r>
        <w:rPr>
          <w:rFonts w:hint="eastAsia" w:ascii="楷体_GB2312" w:eastAsia="楷体_GB2312" w:hAnsiTheme="majorEastAsia" w:cstheme="majorEastAsia"/>
          <w:b/>
          <w:bCs/>
          <w:szCs w:val="32"/>
        </w:rPr>
        <w:t>（一）推动文旅融合发展</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（二）精心打造红色景区</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（三）研发文化创意产品</w:t>
      </w:r>
    </w:p>
    <w:p>
      <w:pPr>
        <w:pStyle w:val="14"/>
        <w:spacing w:before="0" w:beforeAutospacing="0" w:after="0" w:afterAutospacing="0" w:line="600" w:lineRule="exact"/>
        <w:ind w:firstLine="640" w:firstLineChars="200"/>
        <w:jc w:val="both"/>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七、工作机制创新工程</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（一）探索非国有革命旧址保护利用途径</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（二）探索低级别革命文物保护利用方式</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（三）建立不可移动文物保存现状定期评估制度</w:t>
      </w:r>
    </w:p>
    <w:p>
      <w:pPr>
        <w:spacing w:line="600" w:lineRule="exact"/>
        <w:ind w:firstLine="643" w:firstLineChars="200"/>
        <w:rPr>
          <w:rFonts w:ascii="楷体_GB2312" w:eastAsia="楷体_GB2312" w:hAnsiTheme="majorEastAsia" w:cstheme="majorEastAsia"/>
          <w:b/>
          <w:bCs/>
          <w:szCs w:val="32"/>
        </w:rPr>
      </w:pPr>
      <w:r>
        <w:rPr>
          <w:rFonts w:hint="eastAsia" w:ascii="楷体_GB2312" w:eastAsia="楷体_GB2312" w:hAnsiTheme="majorEastAsia" w:cstheme="majorEastAsia"/>
          <w:b/>
          <w:bCs/>
          <w:szCs w:val="32"/>
        </w:rPr>
        <w:t>（四）深化赣鄂湘区域合作</w:t>
      </w:r>
    </w:p>
    <w:p>
      <w:pPr>
        <w:pStyle w:val="14"/>
        <w:spacing w:before="0" w:beforeAutospacing="0" w:after="0" w:afterAutospacing="0" w:line="600" w:lineRule="exact"/>
        <w:ind w:firstLine="640" w:firstLineChars="200"/>
        <w:jc w:val="both"/>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八、安全监督法治工程</w:t>
      </w:r>
    </w:p>
    <w:p>
      <w:pPr>
        <w:spacing w:line="600" w:lineRule="exact"/>
        <w:ind w:firstLine="643" w:firstLineChars="200"/>
        <w:rPr>
          <w:rFonts w:ascii="楷体_GB2312" w:eastAsia="楷体_GB2312" w:hAnsiTheme="majorEastAsia" w:cstheme="majorEastAsia"/>
          <w:b/>
          <w:bCs/>
          <w:kern w:val="0"/>
          <w:szCs w:val="32"/>
          <w:shd w:val="clear" w:color="auto" w:fill="FFFFFF"/>
          <w:lang w:bidi="ar"/>
        </w:rPr>
      </w:pPr>
      <w:r>
        <w:rPr>
          <w:rFonts w:hint="eastAsia" w:ascii="楷体_GB2312" w:eastAsia="楷体_GB2312" w:hAnsiTheme="majorEastAsia" w:cstheme="majorEastAsia"/>
          <w:b/>
          <w:bCs/>
          <w:szCs w:val="32"/>
        </w:rPr>
        <w:t>（一）</w:t>
      </w:r>
      <w:r>
        <w:rPr>
          <w:rFonts w:hint="eastAsia" w:ascii="楷体_GB2312" w:eastAsia="楷体_GB2312" w:hAnsiTheme="majorEastAsia" w:cstheme="majorEastAsia"/>
          <w:b/>
          <w:bCs/>
          <w:kern w:val="0"/>
          <w:szCs w:val="32"/>
          <w:shd w:val="clear" w:color="auto" w:fill="FFFFFF"/>
          <w:lang w:bidi="ar"/>
        </w:rPr>
        <w:t>坚持依法保护利用</w:t>
      </w:r>
    </w:p>
    <w:p>
      <w:pPr>
        <w:spacing w:line="600" w:lineRule="exact"/>
        <w:ind w:firstLine="643" w:firstLineChars="200"/>
        <w:rPr>
          <w:rFonts w:ascii="楷体_GB2312" w:eastAsia="楷体_GB2312" w:hAnsiTheme="majorEastAsia" w:cstheme="majorEastAsia"/>
          <w:b/>
          <w:bCs/>
          <w:kern w:val="0"/>
          <w:szCs w:val="32"/>
          <w:lang w:bidi="ar"/>
        </w:rPr>
      </w:pPr>
      <w:r>
        <w:rPr>
          <w:rFonts w:hint="eastAsia" w:ascii="楷体_GB2312" w:eastAsia="楷体_GB2312" w:hAnsiTheme="majorEastAsia" w:cstheme="majorEastAsia"/>
          <w:b/>
          <w:bCs/>
          <w:szCs w:val="32"/>
        </w:rPr>
        <w:t>（二）</w:t>
      </w:r>
      <w:r>
        <w:rPr>
          <w:rFonts w:hint="eastAsia" w:ascii="楷体_GB2312" w:eastAsia="楷体_GB2312" w:hAnsiTheme="majorEastAsia" w:cstheme="majorEastAsia"/>
          <w:b/>
          <w:bCs/>
          <w:kern w:val="0"/>
          <w:szCs w:val="32"/>
          <w:lang w:bidi="ar"/>
        </w:rPr>
        <w:t>推进文物平安工程</w:t>
      </w:r>
    </w:p>
    <w:p>
      <w:pPr>
        <w:spacing w:line="600" w:lineRule="exact"/>
        <w:ind w:firstLine="643" w:firstLineChars="200"/>
        <w:rPr>
          <w:rFonts w:ascii="楷体_GB2312" w:eastAsia="楷体_GB2312"/>
          <w:b/>
          <w:bCs/>
          <w:szCs w:val="32"/>
        </w:rPr>
      </w:pPr>
      <w:r>
        <w:rPr>
          <w:rFonts w:hint="eastAsia" w:ascii="楷体_GB2312" w:eastAsia="楷体_GB2312" w:hAnsiTheme="majorEastAsia" w:cstheme="majorEastAsia"/>
          <w:b/>
          <w:bCs/>
          <w:szCs w:val="32"/>
        </w:rPr>
        <w:t>（三）</w:t>
      </w:r>
      <w:r>
        <w:rPr>
          <w:rFonts w:hint="eastAsia" w:ascii="楷体_GB2312" w:eastAsia="楷体_GB2312" w:hAnsiTheme="majorEastAsia" w:cstheme="majorEastAsia"/>
          <w:b/>
          <w:bCs/>
          <w:kern w:val="0"/>
          <w:szCs w:val="32"/>
          <w:lang w:bidi="ar"/>
        </w:rPr>
        <w:t>建立文物安全长效机制</w:t>
      </w:r>
    </w:p>
    <w:p>
      <w:pPr>
        <w:pStyle w:val="14"/>
        <w:spacing w:before="0" w:beforeAutospacing="0" w:after="0" w:afterAutospacing="0" w:line="600" w:lineRule="exact"/>
        <w:ind w:firstLine="2891" w:firstLineChars="900"/>
        <w:rPr>
          <w:rFonts w:ascii="宋体" w:hAnsi="宋体" w:eastAsia="宋体" w:cs="宋体"/>
          <w:b/>
          <w:bCs/>
          <w:sz w:val="32"/>
          <w:szCs w:val="32"/>
          <w:shd w:val="clear" w:color="auto" w:fill="FFFFFF"/>
        </w:rPr>
      </w:pPr>
      <w:r>
        <w:rPr>
          <w:rStyle w:val="21"/>
          <w:rFonts w:hint="eastAsia" w:ascii="黑体" w:hAnsi="黑体" w:eastAsia="黑体" w:cs="黑体"/>
          <w:sz w:val="32"/>
          <w:szCs w:val="32"/>
          <w:shd w:val="clear" w:color="auto" w:fill="FFFFFF"/>
        </w:rPr>
        <w:t>第五章    实 施 保 障</w:t>
      </w:r>
    </w:p>
    <w:p>
      <w:pPr>
        <w:pStyle w:val="14"/>
        <w:spacing w:before="0" w:beforeAutospacing="0" w:after="0" w:afterAutospacing="0" w:line="600" w:lineRule="exact"/>
        <w:ind w:firstLine="640" w:firstLineChars="200"/>
        <w:jc w:val="both"/>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一、加强组织协调</w:t>
      </w:r>
    </w:p>
    <w:p>
      <w:pPr>
        <w:pStyle w:val="14"/>
        <w:spacing w:before="0" w:beforeAutospacing="0" w:after="0" w:afterAutospacing="0" w:line="600" w:lineRule="exact"/>
        <w:ind w:firstLine="640" w:firstLineChars="200"/>
        <w:jc w:val="both"/>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二、加大资金投入</w:t>
      </w:r>
    </w:p>
    <w:p>
      <w:pPr>
        <w:pStyle w:val="14"/>
        <w:spacing w:before="0" w:beforeAutospacing="0" w:after="0" w:afterAutospacing="0" w:line="600" w:lineRule="exact"/>
        <w:ind w:firstLine="640" w:firstLineChars="200"/>
        <w:jc w:val="both"/>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三、建强人才队伍</w:t>
      </w:r>
    </w:p>
    <w:p>
      <w:pPr>
        <w:pStyle w:val="14"/>
        <w:spacing w:before="0" w:beforeAutospacing="0" w:after="0" w:afterAutospacing="0" w:line="600" w:lineRule="exact"/>
        <w:ind w:firstLine="640" w:firstLineChars="200"/>
        <w:jc w:val="both"/>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四、强化检查监督</w:t>
      </w:r>
    </w:p>
    <w:p>
      <w:pPr>
        <w:pStyle w:val="17"/>
        <w:spacing w:after="0" w:line="600" w:lineRule="exact"/>
        <w:ind w:left="0" w:leftChars="0" w:firstLine="0" w:firstLineChars="0"/>
        <w:jc w:val="center"/>
        <w:rPr>
          <w:rFonts w:ascii="宋体" w:hAnsi="宋体" w:eastAsia="宋体" w:cs="宋体"/>
          <w:b/>
          <w:bCs/>
          <w:sz w:val="44"/>
          <w:szCs w:val="44"/>
        </w:rPr>
        <w:sectPr>
          <w:headerReference r:id="rId3" w:type="first"/>
          <w:footerReference r:id="rId4" w:type="default"/>
          <w:footerReference r:id="rId5" w:type="even"/>
          <w:pgSz w:w="11906" w:h="16838"/>
          <w:pgMar w:top="1928" w:right="1531" w:bottom="1814" w:left="1531" w:header="851" w:footer="1304" w:gutter="0"/>
          <w:pgNumType w:fmt="numberInDash"/>
          <w:cols w:space="720" w:num="1"/>
          <w:titlePg/>
          <w:docGrid w:type="lines" w:linePitch="435" w:charSpace="0"/>
        </w:sectPr>
      </w:pPr>
    </w:p>
    <w:p>
      <w:pPr>
        <w:pStyle w:val="17"/>
        <w:spacing w:after="0" w:line="600" w:lineRule="exact"/>
        <w:ind w:left="0" w:leftChars="0" w:firstLine="0" w:firstLineChars="0"/>
        <w:jc w:val="center"/>
        <w:rPr>
          <w:rFonts w:ascii="方正小标宋简体" w:hAnsi="宋体" w:eastAsia="方正小标宋简体" w:cs="宋体"/>
          <w:sz w:val="44"/>
          <w:szCs w:val="44"/>
        </w:rPr>
      </w:pPr>
      <w:r>
        <w:rPr>
          <w:rFonts w:hint="eastAsia" w:ascii="方正小标宋简体" w:hAnsi="方正大标宋简体" w:eastAsia="方正小标宋简体" w:cs="方正大标宋简体"/>
          <w:sz w:val="44"/>
          <w:szCs w:val="44"/>
        </w:rPr>
        <w:t>铜鼓县革命文物保护利用专项规划</w:t>
      </w:r>
    </w:p>
    <w:p>
      <w:pPr>
        <w:pStyle w:val="17"/>
        <w:spacing w:after="0" w:line="600" w:lineRule="exact"/>
        <w:ind w:left="0" w:leftChars="0" w:firstLine="0" w:firstLineChars="0"/>
        <w:jc w:val="center"/>
        <w:rPr>
          <w:rFonts w:ascii="方正小标宋简体" w:hAnsi="宋体" w:eastAsia="方正小标宋简体" w:cs="宋体"/>
          <w:sz w:val="44"/>
          <w:szCs w:val="44"/>
        </w:rPr>
      </w:pPr>
    </w:p>
    <w:p>
      <w:pPr>
        <w:pStyle w:val="14"/>
        <w:spacing w:before="0" w:beforeAutospacing="0" w:after="0" w:afterAutospacing="0" w:line="600" w:lineRule="exact"/>
        <w:ind w:firstLine="560"/>
        <w:rPr>
          <w:rFonts w:ascii="仿宋" w:hAnsi="仿宋" w:eastAsia="仿宋" w:cs="仿宋"/>
          <w:sz w:val="28"/>
          <w:szCs w:val="28"/>
          <w:shd w:val="clear" w:color="auto" w:fill="FFFFFF"/>
        </w:rPr>
      </w:pPr>
    </w:p>
    <w:p>
      <w:pPr>
        <w:spacing w:line="600" w:lineRule="exact"/>
        <w:ind w:firstLine="640" w:firstLineChars="200"/>
        <w:rPr>
          <w:rFonts w:hAnsiTheme="minorEastAsia" w:cstheme="minorEastAsia"/>
          <w:szCs w:val="32"/>
        </w:rPr>
      </w:pPr>
      <w:r>
        <w:rPr>
          <w:rFonts w:hint="eastAsia" w:hAnsiTheme="minorEastAsia" w:cstheme="minorEastAsia"/>
          <w:szCs w:val="32"/>
          <w:shd w:val="clear" w:color="auto" w:fill="FFFFFF"/>
        </w:rPr>
        <w:t>为深入贯彻落实习近平总书记关于革命文物工作重要论述和批示指示精神，统筹推进革命文物保护管理运用，按照中共中央办公厅、国务院办公厅《关于加强文物保护利用改革的若干意见》，</w:t>
      </w:r>
      <w:r>
        <w:rPr>
          <w:rFonts w:hint="eastAsia" w:hAnsiTheme="minorEastAsia" w:cstheme="minorEastAsia"/>
          <w:spacing w:val="15"/>
          <w:szCs w:val="32"/>
          <w:shd w:val="clear" w:color="auto" w:fill="FFFFFF"/>
        </w:rPr>
        <w:t>国家文物局</w:t>
      </w:r>
      <w:r>
        <w:rPr>
          <w:rFonts w:hint="eastAsia" w:hAnsiTheme="minorEastAsia" w:cstheme="minorEastAsia"/>
          <w:szCs w:val="32"/>
        </w:rPr>
        <w:t>《革命文物保护利用“十四五”专项规划》</w:t>
      </w:r>
      <w:r>
        <w:rPr>
          <w:rFonts w:hint="eastAsia" w:hAnsiTheme="minorEastAsia" w:cstheme="minorEastAsia"/>
          <w:spacing w:val="15"/>
          <w:szCs w:val="32"/>
          <w:shd w:val="clear" w:color="auto" w:fill="FFFFFF"/>
        </w:rPr>
        <w:t>和</w:t>
      </w:r>
      <w:r>
        <w:rPr>
          <w:rFonts w:hint="eastAsia" w:hAnsiTheme="minorEastAsia" w:cstheme="minorEastAsia"/>
          <w:kern w:val="0"/>
          <w:szCs w:val="32"/>
          <w:lang w:bidi="ar"/>
        </w:rPr>
        <w:t>中共江西省委办公厅、江西省政府办公厅</w:t>
      </w:r>
      <w:r>
        <w:rPr>
          <w:rFonts w:hint="eastAsia" w:hAnsiTheme="minorEastAsia" w:cstheme="minorEastAsia"/>
          <w:szCs w:val="32"/>
          <w:shd w:val="clear" w:color="auto" w:fill="FFFFFF"/>
        </w:rPr>
        <w:t>《关于推进红色文化资源保护与开发利用工作的意见》</w:t>
      </w:r>
      <w:r>
        <w:rPr>
          <w:rFonts w:hint="eastAsia" w:hAnsiTheme="minorEastAsia" w:cstheme="minorEastAsia"/>
          <w:spacing w:val="15"/>
          <w:szCs w:val="32"/>
          <w:shd w:val="clear" w:color="auto" w:fill="FFFFFF"/>
        </w:rPr>
        <w:t>工作</w:t>
      </w:r>
      <w:r>
        <w:rPr>
          <w:rFonts w:hint="eastAsia" w:hAnsiTheme="minorEastAsia" w:cstheme="minorEastAsia"/>
          <w:szCs w:val="32"/>
        </w:rPr>
        <w:t>部署</w:t>
      </w:r>
      <w:r>
        <w:rPr>
          <w:rFonts w:hint="eastAsia" w:hAnsiTheme="minorEastAsia" w:cstheme="minorEastAsia"/>
          <w:szCs w:val="32"/>
          <w:shd w:val="clear" w:color="auto" w:fill="FFFFFF"/>
        </w:rPr>
        <w:t>，结合铜鼓实际情况，制定本规划。</w:t>
      </w:r>
    </w:p>
    <w:p>
      <w:pPr>
        <w:pStyle w:val="14"/>
        <w:spacing w:before="0" w:beforeAutospacing="0" w:after="0" w:afterAutospacing="0" w:line="600" w:lineRule="exact"/>
        <w:ind w:firstLine="2881" w:firstLineChars="900"/>
        <w:jc w:val="both"/>
        <w:rPr>
          <w:rStyle w:val="21"/>
          <w:rFonts w:asciiTheme="majorEastAsia" w:hAnsiTheme="majorEastAsia" w:eastAsiaTheme="majorEastAsia" w:cstheme="majorEastAsia"/>
          <w:sz w:val="32"/>
          <w:szCs w:val="32"/>
          <w:shd w:val="clear" w:color="auto" w:fill="FFFFFF"/>
        </w:rPr>
      </w:pPr>
    </w:p>
    <w:p>
      <w:pPr>
        <w:pStyle w:val="14"/>
        <w:spacing w:before="0" w:beforeAutospacing="0" w:after="0" w:afterAutospacing="0" w:line="600" w:lineRule="exact"/>
        <w:jc w:val="center"/>
        <w:rPr>
          <w:rStyle w:val="21"/>
          <w:rFonts w:ascii="黑体" w:hAnsi="黑体" w:eastAsia="黑体" w:cs="黑体"/>
          <w:sz w:val="32"/>
          <w:szCs w:val="32"/>
          <w:shd w:val="clear" w:color="auto" w:fill="FFFFFF"/>
        </w:rPr>
      </w:pPr>
      <w:r>
        <w:rPr>
          <w:rStyle w:val="21"/>
          <w:rFonts w:hint="eastAsia" w:ascii="黑体" w:hAnsi="黑体" w:eastAsia="黑体" w:cs="黑体"/>
          <w:sz w:val="32"/>
          <w:szCs w:val="32"/>
          <w:shd w:val="clear" w:color="auto" w:fill="FFFFFF"/>
        </w:rPr>
        <w:t>第一章    总  则</w:t>
      </w:r>
    </w:p>
    <w:p>
      <w:pPr>
        <w:pStyle w:val="14"/>
        <w:spacing w:before="0" w:beforeAutospacing="0" w:after="0" w:afterAutospacing="0" w:line="600" w:lineRule="exact"/>
        <w:ind w:firstLine="640" w:firstLineChars="200"/>
        <w:jc w:val="both"/>
        <w:rPr>
          <w:rStyle w:val="21"/>
          <w:rFonts w:ascii="黑体" w:hAnsi="黑体" w:eastAsia="黑体" w:cs="楷体"/>
          <w:b w:val="0"/>
          <w:sz w:val="32"/>
          <w:szCs w:val="32"/>
          <w:shd w:val="clear" w:color="auto" w:fill="FFFFFF"/>
        </w:rPr>
      </w:pPr>
    </w:p>
    <w:p>
      <w:pPr>
        <w:pStyle w:val="14"/>
        <w:spacing w:before="0" w:beforeAutospacing="0" w:after="0" w:afterAutospacing="0" w:line="600" w:lineRule="exact"/>
        <w:ind w:firstLine="640" w:firstLineChars="200"/>
        <w:jc w:val="both"/>
        <w:rPr>
          <w:rFonts w:ascii="黑体" w:hAnsi="黑体" w:eastAsia="黑体" w:cs="楷体"/>
          <w:b/>
          <w:sz w:val="32"/>
          <w:szCs w:val="32"/>
        </w:rPr>
      </w:pPr>
      <w:r>
        <w:rPr>
          <w:rStyle w:val="21"/>
          <w:rFonts w:hint="eastAsia" w:ascii="黑体" w:hAnsi="黑体" w:eastAsia="黑体" w:cs="楷体"/>
          <w:b w:val="0"/>
          <w:sz w:val="32"/>
          <w:szCs w:val="32"/>
          <w:shd w:val="clear" w:color="auto" w:fill="FFFFFF"/>
        </w:rPr>
        <w:t>一、规划背景</w:t>
      </w:r>
    </w:p>
    <w:p>
      <w:pPr>
        <w:spacing w:line="600" w:lineRule="exact"/>
        <w:ind w:firstLine="640" w:firstLineChars="200"/>
        <w:rPr>
          <w:rFonts w:hAnsiTheme="minorEastAsia" w:cstheme="minorEastAsia"/>
          <w:szCs w:val="32"/>
          <w:shd w:val="clear" w:color="auto" w:fill="FFFFFF"/>
        </w:rPr>
      </w:pPr>
      <w:r>
        <w:rPr>
          <w:rFonts w:hint="eastAsia" w:hAnsiTheme="minorEastAsia" w:cstheme="minorEastAsia"/>
          <w:szCs w:val="32"/>
          <w:shd w:val="clear" w:color="auto" w:fill="FFFFFF"/>
        </w:rPr>
        <w:t>革命文物是自近代以来，中华民族为争取民族独立、实现伟大复兴而奋斗，特别是中国共产党领导下的新民主主义革命和社会主义革命与建设光辉历程的重要实物见证。革命文物承载党和人民英勇奋斗的光荣历史，记载中国革命的伟大历程和感人事迹，是党和国家的宝贵财富。加强革命文物保护利用，弘扬革命文化，传承红色基因，是全党全社会的共同责任。</w:t>
      </w:r>
    </w:p>
    <w:p>
      <w:pPr>
        <w:spacing w:line="600" w:lineRule="exact"/>
        <w:ind w:firstLine="640" w:firstLineChars="200"/>
        <w:rPr>
          <w:rFonts w:hAnsiTheme="minorEastAsia" w:cstheme="minorEastAsia"/>
          <w:szCs w:val="32"/>
          <w:shd w:val="clear" w:color="auto" w:fill="FFFFFF"/>
        </w:rPr>
      </w:pPr>
      <w:r>
        <w:rPr>
          <w:rFonts w:hint="eastAsia" w:hAnsiTheme="minorEastAsia" w:cstheme="minorEastAsia"/>
          <w:szCs w:val="32"/>
          <w:shd w:val="clear" w:color="auto" w:fill="FFFFFF"/>
        </w:rPr>
        <w:t>党的十八大以来，在以习近平同志为核心的党中央</w:t>
      </w:r>
      <w:r>
        <w:rPr>
          <w:rFonts w:hint="eastAsia" w:hAnsiTheme="minorEastAsia" w:cstheme="minorEastAsia"/>
          <w:szCs w:val="32"/>
          <w:shd w:val="clear" w:color="auto" w:fill="FFFFFF"/>
          <w:lang w:eastAsia="zh-CN"/>
        </w:rPr>
        <w:t>的</w:t>
      </w:r>
      <w:r>
        <w:rPr>
          <w:rFonts w:hint="eastAsia" w:hAnsiTheme="minorEastAsia" w:cstheme="minorEastAsia"/>
          <w:szCs w:val="32"/>
          <w:shd w:val="clear" w:color="auto" w:fill="FFFFFF"/>
        </w:rPr>
        <w:t xml:space="preserve">坚强领导下，各地区各部门扎实推进革命文物工作，革命文物家底基本摸清，革命场馆体系基本形成，革命文物保护状况持续改善，革命文物教育传承功能明显增强，融合发展作用大幅提升，机构队伍建设实现突破，整体态势日益向上向好。革命文物工作在取得巨大成就的同时，与形势发展的要求相比，与公众日益增长的文化需求相比，革命文物保护利用工作还存在不足，革命文物保护管理还有弱项，研究展示存在短板，运用手段有待拓展，融合发展仍需提升，能力建设亟待加强。文物系统更须抓住机遇、应对挑战，胸怀大局、开拓创新，更好统筹革命文物保护与利用、革命文化弘扬与传承工作。 </w:t>
      </w:r>
    </w:p>
    <w:p>
      <w:pPr>
        <w:spacing w:line="600" w:lineRule="exact"/>
        <w:ind w:firstLine="640" w:firstLineChars="200"/>
        <w:rPr>
          <w:rFonts w:hAnsiTheme="minorEastAsia" w:cstheme="minorEastAsia"/>
          <w:szCs w:val="32"/>
          <w:shd w:val="clear" w:color="auto" w:fill="FFFFFF"/>
        </w:rPr>
      </w:pPr>
      <w:r>
        <w:rPr>
          <w:rFonts w:hint="eastAsia" w:hAnsiTheme="minorEastAsia" w:cstheme="minorEastAsia"/>
          <w:szCs w:val="32"/>
          <w:shd w:val="clear" w:color="auto" w:fill="FFFFFF"/>
        </w:rPr>
        <w:t>党的二十大开启了以中国式现代化全面推进中华民族伟大复兴的新征程，文化强国、文物保护利用强国建设进入关键时期，新时代革命文物保护利用工作正处于乘势而上、大有可为的重要战略机遇期。与此同时，新时代党和国家事业的发展，迫切需要加强革命文物资源整合、统筹规划和整体保护，迫切需要深化革命文物价值挖掘阐释传播，迫切需要发挥革命文物服务大局、资政育人和推动发展的独特作用。要从坚定“四个自信”、巩固党的执政地位、筑牢意识形态阵地的战略高度，充分认识加强新时代革命文物工作的重大意义。</w:t>
      </w:r>
    </w:p>
    <w:p>
      <w:pPr>
        <w:pStyle w:val="14"/>
        <w:spacing w:before="0" w:beforeAutospacing="0" w:after="0" w:afterAutospacing="0" w:line="600" w:lineRule="exact"/>
        <w:ind w:firstLine="640" w:firstLineChars="200"/>
        <w:jc w:val="both"/>
        <w:rPr>
          <w:rStyle w:val="21"/>
          <w:rFonts w:ascii="黑体" w:hAnsi="黑体" w:eastAsia="黑体"/>
          <w:b w:val="0"/>
          <w:sz w:val="32"/>
          <w:szCs w:val="32"/>
        </w:rPr>
      </w:pPr>
      <w:r>
        <w:rPr>
          <w:rStyle w:val="21"/>
          <w:rFonts w:hint="eastAsia" w:ascii="黑体" w:hAnsi="黑体" w:eastAsia="黑体"/>
          <w:b w:val="0"/>
          <w:sz w:val="32"/>
          <w:szCs w:val="32"/>
        </w:rPr>
        <w:t>二、规划依据</w:t>
      </w:r>
    </w:p>
    <w:p>
      <w:pPr>
        <w:spacing w:line="600" w:lineRule="exact"/>
        <w:ind w:firstLine="643" w:firstLineChars="200"/>
        <w:rPr>
          <w:rFonts w:ascii="楷体_GB2312" w:eastAsia="楷体_GB2312" w:hAnsiTheme="majorEastAsia" w:cstheme="majorEastAsia"/>
          <w:szCs w:val="32"/>
        </w:rPr>
      </w:pPr>
      <w:r>
        <w:rPr>
          <w:rFonts w:hint="eastAsia" w:ascii="楷体_GB2312" w:eastAsia="楷体_GB2312" w:hAnsiTheme="majorEastAsia" w:cstheme="majorEastAsia"/>
          <w:b/>
          <w:bCs/>
          <w:kern w:val="0"/>
          <w:szCs w:val="32"/>
          <w:lang w:bidi="ar"/>
        </w:rPr>
        <w:t xml:space="preserve">（一）国家法律法规 </w:t>
      </w:r>
    </w:p>
    <w:p>
      <w:pPr>
        <w:spacing w:line="600" w:lineRule="exact"/>
        <w:ind w:firstLine="640" w:firstLineChars="200"/>
        <w:rPr>
          <w:rFonts w:hAnsiTheme="minorEastAsia" w:cstheme="minorEastAsia"/>
          <w:szCs w:val="32"/>
          <w:shd w:val="clear" w:color="auto" w:fill="FFFFFF"/>
        </w:rPr>
      </w:pPr>
      <w:r>
        <w:rPr>
          <w:rFonts w:hint="eastAsia" w:hAnsiTheme="minorEastAsia" w:cstheme="minorEastAsia"/>
          <w:szCs w:val="32"/>
          <w:shd w:val="clear" w:color="auto" w:fill="FFFFFF"/>
        </w:rPr>
        <w:t xml:space="preserve">《中华人民共和国文物保护法》 </w:t>
      </w:r>
    </w:p>
    <w:p>
      <w:pPr>
        <w:spacing w:line="600" w:lineRule="exact"/>
        <w:ind w:firstLine="640" w:firstLineChars="200"/>
        <w:rPr>
          <w:rFonts w:hAnsiTheme="minorEastAsia" w:cstheme="minorEastAsia"/>
          <w:szCs w:val="32"/>
          <w:shd w:val="clear" w:color="auto" w:fill="FFFFFF"/>
        </w:rPr>
      </w:pPr>
      <w:r>
        <w:rPr>
          <w:rFonts w:hint="eastAsia" w:hAnsiTheme="minorEastAsia" w:cstheme="minorEastAsia"/>
          <w:szCs w:val="32"/>
          <w:shd w:val="clear" w:color="auto" w:fill="FFFFFF"/>
        </w:rPr>
        <w:t>《中华人民共和国文物保护法实施</w:t>
      </w:r>
      <w:r>
        <w:rPr>
          <w:rFonts w:hint="eastAsia" w:hAnsiTheme="minorEastAsia" w:cstheme="minorEastAsia"/>
          <w:szCs w:val="32"/>
          <w:shd w:val="clear" w:color="auto" w:fill="FFFFFF"/>
          <w:lang w:eastAsia="zh-CN"/>
        </w:rPr>
        <w:t>条例</w:t>
      </w:r>
      <w:r>
        <w:rPr>
          <w:rFonts w:hint="eastAsia" w:hAnsiTheme="minorEastAsia" w:cstheme="minorEastAsia"/>
          <w:szCs w:val="32"/>
          <w:shd w:val="clear" w:color="auto" w:fill="FFFFFF"/>
        </w:rPr>
        <w:t xml:space="preserve">》 </w:t>
      </w:r>
    </w:p>
    <w:p>
      <w:pPr>
        <w:spacing w:line="600" w:lineRule="exact"/>
        <w:ind w:firstLine="640" w:firstLineChars="200"/>
        <w:rPr>
          <w:rFonts w:hAnsiTheme="minorEastAsia" w:cstheme="minorEastAsia"/>
          <w:szCs w:val="32"/>
          <w:shd w:val="clear" w:color="auto" w:fill="FFFFFF"/>
        </w:rPr>
      </w:pPr>
      <w:r>
        <w:rPr>
          <w:rFonts w:hint="eastAsia" w:hAnsiTheme="minorEastAsia" w:cstheme="minorEastAsia"/>
          <w:szCs w:val="32"/>
          <w:shd w:val="clear" w:color="auto" w:fill="FFFFFF"/>
        </w:rPr>
        <w:t xml:space="preserve">《中华人民共和国旅游法》 </w:t>
      </w:r>
    </w:p>
    <w:p>
      <w:pPr>
        <w:spacing w:line="600" w:lineRule="exact"/>
        <w:ind w:firstLine="640" w:firstLineChars="200"/>
        <w:rPr>
          <w:rFonts w:hAnsiTheme="minorEastAsia" w:cstheme="minorEastAsia"/>
          <w:szCs w:val="32"/>
          <w:shd w:val="clear" w:color="auto" w:fill="FFFFFF"/>
        </w:rPr>
      </w:pPr>
      <w:r>
        <w:rPr>
          <w:rFonts w:hint="eastAsia" w:hAnsiTheme="minorEastAsia" w:cstheme="minorEastAsia"/>
          <w:szCs w:val="32"/>
          <w:shd w:val="clear" w:color="auto" w:fill="FFFFFF"/>
        </w:rPr>
        <w:t xml:space="preserve">《中华人民共和国城乡规划法》 </w:t>
      </w:r>
    </w:p>
    <w:p>
      <w:pPr>
        <w:spacing w:line="600" w:lineRule="exact"/>
        <w:ind w:firstLine="640" w:firstLineChars="200"/>
        <w:rPr>
          <w:rFonts w:hAnsiTheme="minorEastAsia" w:cstheme="minorEastAsia"/>
          <w:szCs w:val="32"/>
          <w:shd w:val="clear" w:color="auto" w:fill="FFFFFF"/>
        </w:rPr>
      </w:pPr>
      <w:r>
        <w:rPr>
          <w:rFonts w:hint="eastAsia" w:hAnsiTheme="minorEastAsia" w:cstheme="minorEastAsia"/>
          <w:szCs w:val="32"/>
          <w:shd w:val="clear" w:color="auto" w:fill="FFFFFF"/>
        </w:rPr>
        <w:t xml:space="preserve">《中华人民共和国英雄烈士保护法》 </w:t>
      </w:r>
    </w:p>
    <w:p>
      <w:pPr>
        <w:spacing w:line="600" w:lineRule="exact"/>
        <w:ind w:firstLine="643" w:firstLineChars="200"/>
        <w:rPr>
          <w:rFonts w:ascii="楷体_GB2312" w:eastAsia="楷体_GB2312" w:hAnsiTheme="majorEastAsia" w:cstheme="majorEastAsia"/>
          <w:b/>
          <w:bCs/>
          <w:kern w:val="0"/>
          <w:szCs w:val="32"/>
          <w:lang w:bidi="ar"/>
        </w:rPr>
      </w:pPr>
      <w:r>
        <w:rPr>
          <w:rFonts w:hint="eastAsia" w:ascii="楷体_GB2312" w:eastAsia="楷体_GB2312" w:hAnsiTheme="majorEastAsia" w:cstheme="majorEastAsia"/>
          <w:b/>
          <w:bCs/>
          <w:kern w:val="0"/>
          <w:szCs w:val="32"/>
          <w:lang w:bidi="ar"/>
        </w:rPr>
        <w:t xml:space="preserve">（二）国家标准和行业标准 </w:t>
      </w:r>
    </w:p>
    <w:p>
      <w:pPr>
        <w:spacing w:line="600" w:lineRule="exact"/>
        <w:ind w:firstLine="640" w:firstLineChars="200"/>
        <w:rPr>
          <w:rFonts w:hAnsiTheme="minorEastAsia" w:cstheme="minorEastAsia"/>
          <w:szCs w:val="32"/>
          <w:shd w:val="clear" w:color="auto" w:fill="FFFFFF"/>
        </w:rPr>
      </w:pPr>
      <w:r>
        <w:rPr>
          <w:rFonts w:hint="eastAsia" w:hAnsiTheme="minorEastAsia" w:cstheme="minorEastAsia"/>
          <w:szCs w:val="32"/>
          <w:shd w:val="clear" w:color="auto" w:fill="FFFFFF"/>
        </w:rPr>
        <w:t xml:space="preserve">GB/T 18971-2003 《旅游规划通则》 </w:t>
      </w:r>
    </w:p>
    <w:p>
      <w:pPr>
        <w:spacing w:line="600" w:lineRule="exact"/>
        <w:ind w:firstLine="640" w:firstLineChars="200"/>
        <w:rPr>
          <w:rFonts w:hAnsiTheme="minorEastAsia" w:cstheme="minorEastAsia"/>
          <w:szCs w:val="32"/>
          <w:shd w:val="clear" w:color="auto" w:fill="FFFFFF"/>
        </w:rPr>
      </w:pPr>
      <w:r>
        <w:rPr>
          <w:rFonts w:hint="eastAsia" w:hAnsiTheme="minorEastAsia" w:cstheme="minorEastAsia"/>
          <w:szCs w:val="32"/>
          <w:shd w:val="clear" w:color="auto" w:fill="FFFFFF"/>
        </w:rPr>
        <w:t xml:space="preserve">GB/T 17775-2003 《旅游景区质量等级的划分与评定》 </w:t>
      </w:r>
    </w:p>
    <w:p>
      <w:pPr>
        <w:spacing w:line="600" w:lineRule="exact"/>
        <w:ind w:firstLine="640" w:firstLineChars="200"/>
        <w:rPr>
          <w:rFonts w:hAnsiTheme="minorEastAsia" w:cstheme="minorEastAsia"/>
          <w:szCs w:val="32"/>
          <w:shd w:val="clear" w:color="auto" w:fill="FFFFFF"/>
        </w:rPr>
      </w:pPr>
      <w:r>
        <w:rPr>
          <w:rFonts w:hint="eastAsia" w:hAnsiTheme="minorEastAsia" w:cstheme="minorEastAsia"/>
          <w:szCs w:val="32"/>
          <w:shd w:val="clear" w:color="auto" w:fill="FFFFFF"/>
        </w:rPr>
        <w:t xml:space="preserve">LB/T 055-2016   《红色旅游经典景区服务规范》 </w:t>
      </w:r>
    </w:p>
    <w:p>
      <w:pPr>
        <w:spacing w:line="600" w:lineRule="exact"/>
        <w:ind w:firstLine="640" w:firstLineChars="200"/>
        <w:rPr>
          <w:rFonts w:hAnsiTheme="minorEastAsia" w:cstheme="minorEastAsia"/>
          <w:szCs w:val="32"/>
          <w:shd w:val="clear" w:color="auto" w:fill="FFFFFF"/>
        </w:rPr>
      </w:pPr>
      <w:r>
        <w:rPr>
          <w:rFonts w:hint="eastAsia" w:hAnsiTheme="minorEastAsia" w:cstheme="minorEastAsia"/>
          <w:szCs w:val="32"/>
          <w:shd w:val="clear" w:color="auto" w:fill="FFFFFF"/>
        </w:rPr>
        <w:t xml:space="preserve">LB/T 054-2016   《研学旅行服务规范》 </w:t>
      </w:r>
    </w:p>
    <w:p>
      <w:pPr>
        <w:spacing w:line="600" w:lineRule="exact"/>
        <w:ind w:firstLine="640" w:firstLineChars="200"/>
        <w:rPr>
          <w:rFonts w:hAnsiTheme="minorEastAsia" w:cstheme="minorEastAsia"/>
          <w:szCs w:val="32"/>
          <w:shd w:val="clear" w:color="auto" w:fill="FFFFFF"/>
        </w:rPr>
      </w:pPr>
      <w:r>
        <w:rPr>
          <w:rFonts w:hint="eastAsia" w:hAnsiTheme="minorEastAsia" w:cstheme="minorEastAsia"/>
          <w:szCs w:val="32"/>
          <w:shd w:val="clear" w:color="auto" w:fill="FFFFFF"/>
        </w:rPr>
        <w:t xml:space="preserve">GB/T 22528-2008 《文物保护单位开放服务规范》 </w:t>
      </w:r>
    </w:p>
    <w:p>
      <w:pPr>
        <w:spacing w:line="600" w:lineRule="exact"/>
        <w:ind w:firstLine="643" w:firstLineChars="200"/>
        <w:rPr>
          <w:rFonts w:ascii="楷体_GB2312" w:eastAsia="楷体_GB2312" w:hAnsiTheme="majorEastAsia" w:cstheme="majorEastAsia"/>
          <w:szCs w:val="32"/>
        </w:rPr>
      </w:pPr>
      <w:r>
        <w:rPr>
          <w:rFonts w:hint="eastAsia" w:ascii="楷体_GB2312" w:eastAsia="楷体_GB2312" w:hAnsiTheme="majorEastAsia" w:cstheme="majorEastAsia"/>
          <w:b/>
          <w:bCs/>
          <w:kern w:val="0"/>
          <w:szCs w:val="32"/>
          <w:lang w:bidi="ar"/>
        </w:rPr>
        <w:t xml:space="preserve">（三）政策文件和相关规划 </w:t>
      </w:r>
    </w:p>
    <w:p>
      <w:pPr>
        <w:spacing w:line="600" w:lineRule="exact"/>
        <w:ind w:firstLine="640" w:firstLineChars="200"/>
        <w:rPr>
          <w:rFonts w:hAnsiTheme="minorEastAsia" w:cstheme="minorEastAsia"/>
          <w:szCs w:val="32"/>
          <w:shd w:val="clear" w:color="auto" w:fill="FFFFFF"/>
        </w:rPr>
      </w:pPr>
      <w:r>
        <w:rPr>
          <w:rFonts w:hint="eastAsia" w:hAnsiTheme="minorEastAsia" w:cstheme="minorEastAsia"/>
          <w:szCs w:val="32"/>
          <w:shd w:val="clear" w:color="auto" w:fill="FFFFFF"/>
        </w:rPr>
        <w:t xml:space="preserve">中共中央办公厅、国务院办公厅《关于实施革命文物保护利用工程（2018-2022 年）的意见》 </w:t>
      </w:r>
    </w:p>
    <w:p>
      <w:pPr>
        <w:spacing w:line="600" w:lineRule="exact"/>
        <w:ind w:firstLine="640" w:firstLineChars="200"/>
        <w:rPr>
          <w:rFonts w:hAnsiTheme="minorEastAsia" w:cstheme="minorEastAsia"/>
          <w:szCs w:val="32"/>
          <w:shd w:val="clear" w:color="auto" w:fill="FFFFFF"/>
        </w:rPr>
      </w:pPr>
      <w:r>
        <w:rPr>
          <w:rFonts w:hint="eastAsia" w:hAnsiTheme="minorEastAsia" w:cstheme="minorEastAsia"/>
          <w:szCs w:val="32"/>
          <w:shd w:val="clear" w:color="auto" w:fill="FFFFFF"/>
        </w:rPr>
        <w:t>中共中央办公厅、国务院办公厅《关于推进实施国家文化数字化战略的意见》</w:t>
      </w:r>
    </w:p>
    <w:p>
      <w:pPr>
        <w:spacing w:line="600" w:lineRule="exact"/>
        <w:ind w:firstLine="640" w:firstLineChars="200"/>
        <w:rPr>
          <w:rFonts w:hAnsiTheme="minorEastAsia" w:cstheme="minorEastAsia"/>
          <w:szCs w:val="32"/>
          <w:shd w:val="clear" w:color="auto" w:fill="FFFFFF"/>
        </w:rPr>
      </w:pPr>
      <w:r>
        <w:rPr>
          <w:rFonts w:hint="eastAsia" w:hAnsiTheme="minorEastAsia" w:cstheme="minorEastAsia"/>
          <w:szCs w:val="32"/>
          <w:shd w:val="clear" w:color="auto" w:fill="FFFFFF"/>
        </w:rPr>
        <w:t>国家文物局《革命文物保护利用“十四五”专项规划》</w:t>
      </w:r>
    </w:p>
    <w:p>
      <w:pPr>
        <w:spacing w:line="600" w:lineRule="exact"/>
        <w:ind w:firstLine="640" w:firstLineChars="200"/>
        <w:rPr>
          <w:rFonts w:hAnsiTheme="majorEastAsia" w:cstheme="majorEastAsia"/>
          <w:kern w:val="0"/>
          <w:szCs w:val="32"/>
          <w:lang w:bidi="ar"/>
        </w:rPr>
      </w:pPr>
      <w:r>
        <w:rPr>
          <w:rFonts w:hint="eastAsia" w:hAnsiTheme="majorEastAsia" w:cstheme="majorEastAsia"/>
          <w:kern w:val="0"/>
          <w:szCs w:val="32"/>
          <w:lang w:bidi="ar"/>
        </w:rPr>
        <w:t>中共江西省委办公厅、江西省政府办公厅《关于推进红色文化资源保护与开发利用工作的意见》</w:t>
      </w:r>
    </w:p>
    <w:p>
      <w:pPr>
        <w:spacing w:line="600" w:lineRule="exact"/>
        <w:ind w:firstLine="640" w:firstLineChars="200"/>
        <w:rPr>
          <w:rFonts w:hAnsiTheme="minorEastAsia" w:cstheme="minorEastAsia"/>
          <w:szCs w:val="32"/>
          <w:shd w:val="clear" w:color="auto" w:fill="FFFFFF"/>
        </w:rPr>
      </w:pPr>
      <w:r>
        <w:rPr>
          <w:rFonts w:hint="eastAsia" w:hAnsiTheme="minorEastAsia" w:cstheme="minorEastAsia"/>
          <w:szCs w:val="32"/>
          <w:shd w:val="clear" w:color="auto" w:fill="FFFFFF"/>
        </w:rPr>
        <w:t xml:space="preserve">《江西省革命文物保护利用工程（2018—2022 年）实施方案》 </w:t>
      </w:r>
    </w:p>
    <w:p>
      <w:pPr>
        <w:spacing w:line="600" w:lineRule="exact"/>
        <w:ind w:firstLine="640" w:firstLineChars="200"/>
        <w:rPr>
          <w:rFonts w:hAnsiTheme="minorEastAsia" w:cstheme="minorEastAsia"/>
          <w:szCs w:val="32"/>
          <w:shd w:val="clear" w:color="auto" w:fill="FFFFFF"/>
        </w:rPr>
      </w:pPr>
      <w:r>
        <w:rPr>
          <w:rFonts w:hint="eastAsia" w:hAnsiTheme="minorEastAsia" w:cstheme="minorEastAsia"/>
          <w:szCs w:val="32"/>
          <w:shd w:val="clear" w:color="auto" w:fill="FFFFFF"/>
        </w:rPr>
        <w:t xml:space="preserve">《江西省公共文化服务保障条例》  </w:t>
      </w:r>
    </w:p>
    <w:p>
      <w:pPr>
        <w:spacing w:line="600" w:lineRule="exact"/>
        <w:ind w:firstLine="640" w:firstLineChars="200"/>
        <w:rPr>
          <w:rFonts w:hAnsiTheme="majorEastAsia" w:cstheme="majorEastAsia"/>
          <w:szCs w:val="32"/>
        </w:rPr>
      </w:pPr>
      <w:r>
        <w:rPr>
          <w:rFonts w:hint="eastAsia" w:hAnsiTheme="majorEastAsia" w:cstheme="majorEastAsia"/>
          <w:kern w:val="0"/>
          <w:szCs w:val="32"/>
          <w:lang w:bidi="ar"/>
        </w:rPr>
        <w:t xml:space="preserve">《江西省“十四五”文化和旅游发展规划》 </w:t>
      </w:r>
    </w:p>
    <w:p>
      <w:pPr>
        <w:spacing w:line="600" w:lineRule="exact"/>
        <w:ind w:firstLine="640" w:firstLineChars="200"/>
        <w:rPr>
          <w:rFonts w:hAnsiTheme="majorEastAsia" w:cstheme="majorEastAsia"/>
          <w:kern w:val="0"/>
          <w:szCs w:val="32"/>
          <w:lang w:bidi="ar"/>
        </w:rPr>
      </w:pPr>
      <w:r>
        <w:rPr>
          <w:rFonts w:hint="eastAsia" w:hAnsiTheme="majorEastAsia" w:cstheme="majorEastAsia"/>
          <w:kern w:val="0"/>
          <w:szCs w:val="32"/>
          <w:lang w:bidi="ar"/>
        </w:rPr>
        <w:t>《宜春市“十四五”文化和旅游发展规划》</w:t>
      </w:r>
    </w:p>
    <w:p>
      <w:pPr>
        <w:spacing w:line="600" w:lineRule="exact"/>
        <w:ind w:firstLine="640" w:firstLineChars="200"/>
        <w:rPr>
          <w:rFonts w:hAnsiTheme="majorEastAsia" w:cstheme="majorEastAsia"/>
          <w:kern w:val="0"/>
          <w:szCs w:val="32"/>
          <w:lang w:bidi="ar"/>
        </w:rPr>
      </w:pPr>
      <w:r>
        <w:rPr>
          <w:rFonts w:hint="eastAsia" w:hAnsiTheme="majorEastAsia" w:cstheme="majorEastAsia"/>
          <w:kern w:val="0"/>
          <w:szCs w:val="32"/>
          <w:lang w:bidi="ar"/>
        </w:rPr>
        <w:t>《铜鼓县国民经济和社会发展第十四个五年规划和二</w:t>
      </w:r>
      <w:r>
        <w:rPr>
          <w:rFonts w:hint="eastAsia" w:ascii="微软雅黑" w:hAnsi="微软雅黑" w:eastAsia="微软雅黑" w:cs="微软雅黑"/>
          <w:kern w:val="0"/>
          <w:szCs w:val="32"/>
          <w:lang w:bidi="ar"/>
        </w:rPr>
        <w:t>〇</w:t>
      </w:r>
      <w:r>
        <w:rPr>
          <w:rFonts w:hint="eastAsia" w:hAnsi="仿宋_GB2312" w:cs="仿宋_GB2312"/>
          <w:kern w:val="0"/>
          <w:szCs w:val="32"/>
          <w:lang w:bidi="ar"/>
        </w:rPr>
        <w:t>三五年远景目标纲要》</w:t>
      </w:r>
    </w:p>
    <w:p>
      <w:pPr>
        <w:spacing w:line="600" w:lineRule="exact"/>
        <w:ind w:firstLine="640" w:firstLineChars="200"/>
        <w:rPr>
          <w:rFonts w:hAnsiTheme="majorEastAsia" w:cstheme="majorEastAsia"/>
          <w:kern w:val="0"/>
          <w:szCs w:val="32"/>
          <w:lang w:bidi="ar"/>
        </w:rPr>
      </w:pPr>
      <w:r>
        <w:rPr>
          <w:rFonts w:hint="eastAsia" w:hAnsiTheme="majorEastAsia" w:cstheme="majorEastAsia"/>
          <w:kern w:val="0"/>
          <w:szCs w:val="32"/>
          <w:lang w:bidi="ar"/>
        </w:rPr>
        <w:t>《铜鼓县革命文物保护利用示范县创建工作实施方案》</w:t>
      </w:r>
    </w:p>
    <w:p>
      <w:pPr>
        <w:pStyle w:val="14"/>
        <w:spacing w:before="0" w:beforeAutospacing="0" w:after="0" w:afterAutospacing="0" w:line="600" w:lineRule="exact"/>
        <w:ind w:firstLine="640" w:firstLineChars="200"/>
        <w:jc w:val="both"/>
        <w:rPr>
          <w:rFonts w:ascii="黑体" w:hAnsi="黑体" w:eastAsia="黑体" w:cs="楷体"/>
          <w:sz w:val="32"/>
          <w:szCs w:val="32"/>
          <w:shd w:val="clear" w:color="auto" w:fill="FFFFFF"/>
          <w:lang w:bidi="ar"/>
        </w:rPr>
      </w:pPr>
      <w:r>
        <w:rPr>
          <w:rFonts w:hint="eastAsia" w:ascii="黑体" w:hAnsi="黑体" w:eastAsia="黑体" w:cs="楷体"/>
          <w:sz w:val="32"/>
          <w:szCs w:val="32"/>
          <w:shd w:val="clear" w:color="auto" w:fill="FFFFFF"/>
          <w:lang w:bidi="ar"/>
        </w:rPr>
        <w:t>三、规划范围</w:t>
      </w:r>
    </w:p>
    <w:p>
      <w:pPr>
        <w:spacing w:line="600" w:lineRule="exact"/>
        <w:ind w:firstLine="640" w:firstLineChars="200"/>
        <w:rPr>
          <w:rFonts w:hAnsiTheme="majorEastAsia" w:cstheme="majorEastAsia"/>
          <w:kern w:val="0"/>
          <w:szCs w:val="32"/>
          <w:lang w:bidi="ar"/>
        </w:rPr>
      </w:pPr>
      <w:r>
        <w:rPr>
          <w:rFonts w:hint="eastAsia" w:hAnsiTheme="majorEastAsia" w:cstheme="majorEastAsia"/>
          <w:kern w:val="0"/>
          <w:szCs w:val="32"/>
          <w:lang w:bidi="ar"/>
        </w:rPr>
        <w:t>依据中宣部、财政部、文化和旅游部、国家文物局2019年公布的《革命文物保护利用片区分县名单（第一批）》，铜鼓全域为革命文物保护利用湘鄂赣片区分县。本规划范围为铜鼓县永宁镇、温泉镇、棋坪镇、三都镇、排埠镇、大塅镇、带溪乡、</w:t>
      </w:r>
      <w:r>
        <w:rPr>
          <w:rFonts w:hint="eastAsia" w:hAnsi="仿宋_GB2312" w:cs="仿宋_GB2312"/>
          <w:kern w:val="0"/>
          <w:szCs w:val="32"/>
          <w:lang w:bidi="ar"/>
        </w:rPr>
        <w:t>高桥乡、港口乡等六镇三乡，总面积</w:t>
      </w:r>
      <w:r>
        <w:rPr>
          <w:rFonts w:hint="eastAsia" w:hAnsiTheme="majorEastAsia" w:cstheme="majorEastAsia"/>
          <w:kern w:val="0"/>
          <w:szCs w:val="32"/>
          <w:lang w:bidi="ar"/>
        </w:rPr>
        <w:t>1552平方公里。以秋收起义和湘鄂赣革命根据地建设革命史为重点，涉及革命旧址、纪念性建筑、近现代重要史迹及代表性建筑、馆藏文物、红色标语等革命文物。</w:t>
      </w:r>
    </w:p>
    <w:p>
      <w:pPr>
        <w:pStyle w:val="14"/>
        <w:spacing w:before="0" w:beforeAutospacing="0" w:after="0" w:afterAutospacing="0" w:line="600" w:lineRule="exact"/>
        <w:ind w:firstLine="640" w:firstLineChars="200"/>
        <w:jc w:val="both"/>
        <w:rPr>
          <w:rFonts w:ascii="黑体" w:hAnsi="黑体" w:eastAsia="黑体" w:cs="楷体"/>
          <w:sz w:val="32"/>
          <w:szCs w:val="32"/>
          <w:shd w:val="clear" w:color="auto" w:fill="FFFFFF"/>
          <w:lang w:bidi="ar"/>
        </w:rPr>
      </w:pPr>
      <w:r>
        <w:rPr>
          <w:rFonts w:hint="eastAsia" w:ascii="黑体" w:hAnsi="黑体" w:eastAsia="黑体" w:cs="楷体"/>
          <w:sz w:val="32"/>
          <w:szCs w:val="32"/>
          <w:shd w:val="clear" w:color="auto" w:fill="FFFFFF"/>
          <w:lang w:bidi="ar"/>
        </w:rPr>
        <w:t>四、规划期限</w:t>
      </w:r>
    </w:p>
    <w:p>
      <w:pPr>
        <w:spacing w:line="600" w:lineRule="exact"/>
        <w:ind w:firstLine="640" w:firstLineChars="200"/>
        <w:rPr>
          <w:rFonts w:hAnsiTheme="majorEastAsia" w:cstheme="majorEastAsia"/>
          <w:kern w:val="0"/>
          <w:szCs w:val="32"/>
          <w:lang w:bidi="ar"/>
        </w:rPr>
        <w:sectPr>
          <w:pgSz w:w="11906" w:h="16838"/>
          <w:pgMar w:top="1928" w:right="1531" w:bottom="1814" w:left="1531" w:header="851" w:footer="1304" w:gutter="0"/>
          <w:pgNumType w:fmt="numberInDash"/>
          <w:cols w:space="720" w:num="1"/>
          <w:docGrid w:type="lines" w:linePitch="435" w:charSpace="0"/>
        </w:sectPr>
      </w:pPr>
      <w:r>
        <w:rPr>
          <w:rFonts w:hint="eastAsia" w:hAnsiTheme="majorEastAsia" w:cstheme="majorEastAsia"/>
          <w:kern w:val="0"/>
          <w:szCs w:val="32"/>
          <w:lang w:bidi="ar"/>
        </w:rPr>
        <w:t xml:space="preserve">本规划期限为2022—2030年。规划分期为：近期为 2022 —2025年；远期为 2026—2030 年。 </w:t>
      </w:r>
    </w:p>
    <w:p>
      <w:pPr>
        <w:numPr>
          <w:ilvl w:val="255"/>
          <w:numId w:val="0"/>
        </w:numPr>
        <w:spacing w:line="600" w:lineRule="exact"/>
        <w:ind w:firstLine="3213" w:firstLineChars="1000"/>
        <w:rPr>
          <w:rFonts w:ascii="黑体" w:hAnsi="黑体" w:eastAsia="黑体" w:cs="黑体"/>
          <w:b/>
          <w:bCs/>
          <w:szCs w:val="32"/>
        </w:rPr>
      </w:pPr>
      <w:r>
        <w:rPr>
          <w:rFonts w:hint="eastAsia" w:ascii="黑体" w:hAnsi="黑体" w:eastAsia="黑体" w:cs="黑体"/>
          <w:b/>
          <w:bCs/>
          <w:szCs w:val="32"/>
        </w:rPr>
        <w:t>第二章   资 源 评 估</w:t>
      </w:r>
    </w:p>
    <w:p>
      <w:pPr>
        <w:spacing w:line="600" w:lineRule="exact"/>
        <w:ind w:firstLine="640" w:firstLineChars="200"/>
        <w:rPr>
          <w:rStyle w:val="21"/>
          <w:rFonts w:asciiTheme="majorEastAsia" w:hAnsiTheme="majorEastAsia" w:eastAsiaTheme="majorEastAsia" w:cstheme="majorEastAsia"/>
          <w:szCs w:val="32"/>
          <w:shd w:val="clear" w:color="auto" w:fill="FFFFFF"/>
        </w:rPr>
      </w:pPr>
    </w:p>
    <w:p>
      <w:pPr>
        <w:spacing w:line="600" w:lineRule="exact"/>
        <w:ind w:firstLine="640" w:firstLineChars="200"/>
        <w:rPr>
          <w:rStyle w:val="21"/>
          <w:rFonts w:ascii="黑体" w:hAnsi="黑体" w:eastAsia="黑体" w:cs="楷体"/>
          <w:b w:val="0"/>
          <w:szCs w:val="32"/>
          <w:shd w:val="clear" w:color="auto" w:fill="FFFFFF"/>
        </w:rPr>
      </w:pPr>
      <w:r>
        <w:rPr>
          <w:rStyle w:val="21"/>
          <w:rFonts w:hint="eastAsia" w:ascii="黑体" w:hAnsi="黑体" w:eastAsia="黑体" w:cs="楷体"/>
          <w:b w:val="0"/>
          <w:szCs w:val="32"/>
          <w:shd w:val="clear" w:color="auto" w:fill="FFFFFF"/>
        </w:rPr>
        <w:t>一、革命文物资源概况</w:t>
      </w:r>
    </w:p>
    <w:p>
      <w:pPr>
        <w:spacing w:line="600" w:lineRule="exact"/>
        <w:ind w:firstLine="640" w:firstLineChars="200"/>
        <w:rPr>
          <w:rFonts w:hAnsiTheme="majorEastAsia" w:cstheme="majorEastAsia"/>
          <w:kern w:val="0"/>
          <w:szCs w:val="32"/>
          <w:lang w:bidi="ar"/>
        </w:rPr>
      </w:pPr>
      <w:r>
        <w:rPr>
          <w:rFonts w:hint="eastAsia" w:hAnsiTheme="majorEastAsia" w:cstheme="majorEastAsia"/>
          <w:kern w:val="0"/>
          <w:szCs w:val="32"/>
          <w:lang w:bidi="ar"/>
        </w:rPr>
        <w:t>铜鼓作为具有光荣传统的革命老区、宜春市境内唯一“全苏区县”，革命文物分布广泛，密布于全县六镇三乡。从革命文物形式上看，涵盖类型全面，品位高、影响大。铜鼓是湘赣边界秋收起义主要爆发地和指挥中心，是湘鄂赣革命根据地的重要组成部分，是国家一类革命老区。大革命时期，宜春市境内首个中共党支部、工会、农会组织，均诞生于铜鼓；土地革命时期，毛泽东同志赴铜鼓领导发动了著名的湘赣边界秋收起义，彭德怀、滕代远等老一辈无产阶级革命家在铜鼓创建湘鄂赣革命根据地，建立工农苏维埃政权。铜鼓既有湘赣边界秋收起义前敌委员会旧址、秋收起义部队新兵训练处旧址、工农革命军第一军第一师第三团回师铜鼓旧址、湘鄂赣省苏维埃政府旧址、幽居会议旧址等一批以近现代重要史迹及代表性建筑为载体的不可移动革命文物，也有松树炮、毛瑟手枪、马灯、报刊、钱币等可移动革命文物，还有中国共产党及其领导的人民军队书写绘制在各类建筑物上的红色标语、宣传画等，其中红色标语遗存数量众多，价值重要且突出，保存较好，在江西省革命文物中具有独特的代表性。</w:t>
      </w:r>
    </w:p>
    <w:p>
      <w:pPr>
        <w:snapToGrid w:val="0"/>
        <w:spacing w:line="600" w:lineRule="exact"/>
        <w:ind w:firstLine="640" w:firstLineChars="200"/>
        <w:rPr>
          <w:rStyle w:val="21"/>
          <w:rFonts w:ascii="黑体" w:hAnsi="黑体" w:eastAsia="黑体"/>
          <w:b w:val="0"/>
          <w:szCs w:val="32"/>
          <w:shd w:val="clear" w:color="auto" w:fill="FFFFFF"/>
        </w:rPr>
      </w:pPr>
      <w:r>
        <w:rPr>
          <w:rFonts w:hint="eastAsia" w:hAnsiTheme="majorEastAsia" w:cstheme="majorEastAsia"/>
          <w:kern w:val="0"/>
          <w:szCs w:val="32"/>
          <w:lang w:bidi="ar"/>
        </w:rPr>
        <w:t>铜鼓有秋收起义纪念地4A景区(湘赣边界秋收起义前敌委员会旧址、毛泽东脱险地旧址、秋收起义铜鼓纪念馆）、秋收起义阅兵广场、湘鄂赣革命烈士陵园等多处重要纪念场所。秋收起义铜鼓纪念馆，是全国爱国主义教育示范基地、国家国防教育示范基地、全国关心下一代党史国史教育基地、国家三级博物馆、江西省十大红色旅游景点。铜鼓革命旧址与红色标语总数位居江西省前列，现有不可移动革命文物63处，其中全国重点文物保护单位1处、省级文物保护单位7处、市级文物保护单位2处、县级文物保护单位17处；馆藏革命文物360件（套），其中一级文物3件/套、二级文物30件/套、三级文物283件/套；红色标语122条，其中一类标语57条、二类标语22条。</w:t>
      </w:r>
    </w:p>
    <w:p>
      <w:pPr>
        <w:spacing w:line="600" w:lineRule="exact"/>
        <w:ind w:firstLine="640" w:firstLineChars="200"/>
        <w:rPr>
          <w:rStyle w:val="21"/>
          <w:rFonts w:ascii="黑体" w:hAnsi="黑体" w:eastAsia="黑体" w:cs="楷体"/>
          <w:b w:val="0"/>
          <w:szCs w:val="32"/>
          <w:shd w:val="clear" w:color="auto" w:fill="FFFFFF"/>
        </w:rPr>
      </w:pPr>
      <w:r>
        <w:rPr>
          <w:rStyle w:val="21"/>
          <w:rFonts w:hint="eastAsia" w:ascii="黑体" w:hAnsi="黑体" w:eastAsia="黑体"/>
          <w:b w:val="0"/>
          <w:szCs w:val="32"/>
          <w:shd w:val="clear" w:color="auto" w:fill="FFFFFF"/>
        </w:rPr>
        <w:t>二、区域价值评估</w:t>
      </w:r>
    </w:p>
    <w:p>
      <w:pPr>
        <w:spacing w:line="600" w:lineRule="exact"/>
        <w:ind w:firstLine="640" w:firstLineChars="200"/>
        <w:rPr>
          <w:rFonts w:asciiTheme="majorEastAsia" w:hAnsiTheme="majorEastAsia" w:eastAsiaTheme="majorEastAsia" w:cstheme="majorEastAsia"/>
          <w:szCs w:val="32"/>
        </w:rPr>
      </w:pPr>
      <w:r>
        <w:rPr>
          <w:rFonts w:hint="eastAsia" w:hAnsiTheme="majorEastAsia" w:cstheme="majorEastAsia"/>
          <w:kern w:val="0"/>
          <w:szCs w:val="32"/>
          <w:lang w:bidi="ar"/>
        </w:rPr>
        <w:t>铜鼓诞生了宜春地区第一个中共党支部，是湘赣边界秋收起义主要爆发地和指挥中心、湘鄂赣革命根据地创建的起点和中心区域，铜鼓革命历史在党史、军史上具有极其深远的价值和重要意义。</w:t>
      </w:r>
    </w:p>
    <w:p>
      <w:pPr>
        <w:spacing w:line="600" w:lineRule="exact"/>
        <w:ind w:firstLine="643" w:firstLineChars="200"/>
        <w:rPr>
          <w:rFonts w:hAnsiTheme="minorEastAsia" w:cstheme="minorEastAsia"/>
          <w:kern w:val="0"/>
          <w:szCs w:val="32"/>
          <w:lang w:bidi="ar"/>
        </w:rPr>
      </w:pPr>
      <w:r>
        <w:rPr>
          <w:rFonts w:hint="eastAsia" w:ascii="楷体_GB2312" w:eastAsia="楷体_GB2312" w:hAnsiTheme="minorEastAsia" w:cstheme="minorEastAsia"/>
          <w:b/>
          <w:bCs/>
          <w:szCs w:val="32"/>
        </w:rPr>
        <w:t>（一）铜鼓是宜春地区第一个中共党支部所在地。</w:t>
      </w:r>
      <w:r>
        <w:rPr>
          <w:rFonts w:hint="eastAsia" w:hAnsiTheme="minorEastAsia" w:cstheme="minorEastAsia"/>
          <w:szCs w:val="32"/>
          <w:shd w:val="clear" w:color="auto" w:fill="FFFFFF"/>
        </w:rPr>
        <w:t>1925年12月，铜鼓</w:t>
      </w:r>
      <w:r>
        <w:rPr>
          <w:rFonts w:hint="eastAsia" w:hAnsiTheme="minorEastAsia" w:cstheme="minorEastAsia"/>
          <w:kern w:val="0"/>
          <w:szCs w:val="32"/>
          <w:lang w:bidi="ar"/>
        </w:rPr>
        <w:t>正式成立了中共党支部，隶属中共南昌特别支部。中共铜鼓党支部是宜春市境内诞生的第一个中共党组织，标志着铜鼓的大革命运动已步入由无产阶级政党——中国共产党领导的新阶段，为铜鼓的大革命运动提供了坚强的组织保障，造就了一大批革命信念坚定、对党无限忠诚，百折不挠、坚强不屈、勇于献身人民革命事业的优秀干部。</w:t>
      </w:r>
      <w:r>
        <w:rPr>
          <w:rFonts w:hint="eastAsia" w:hAnsiTheme="minorEastAsia" w:cstheme="minorEastAsia"/>
          <w:szCs w:val="32"/>
          <w:shd w:val="clear" w:color="auto" w:fill="FFFFFF"/>
        </w:rPr>
        <w:t>1926年9月，北伐军进军铜鼓，中共铜鼓党支部领导广大工农群众积极配合北伐军作战取得胜利。1927年6月底，中共铜鼓党团中心支部升格为中共铜鼓县委，陈逸群任书记，组织全县干部群众参加革命队伍、踊跃支前等，为毛泽东亲临铜鼓领导湘赣边界秋收起义奠定了坚实的基础。</w:t>
      </w:r>
    </w:p>
    <w:p>
      <w:pPr>
        <w:numPr>
          <w:ilvl w:val="255"/>
          <w:numId w:val="0"/>
        </w:numPr>
        <w:spacing w:line="600" w:lineRule="exact"/>
        <w:ind w:firstLine="643" w:firstLineChars="200"/>
        <w:rPr>
          <w:rFonts w:hAnsi="宋体" w:cs="宋体"/>
          <w:kern w:val="0"/>
          <w:szCs w:val="32"/>
          <w:lang w:bidi="ar"/>
        </w:rPr>
      </w:pPr>
      <w:r>
        <w:rPr>
          <w:rFonts w:hint="eastAsia" w:ascii="楷体_GB2312" w:hAnsi="宋体" w:eastAsia="楷体_GB2312" w:cs="宋体"/>
          <w:b/>
          <w:bCs/>
          <w:szCs w:val="32"/>
        </w:rPr>
        <w:t>（二）铜鼓是湘赣边界秋收起义主要爆发地和指挥中心。</w:t>
      </w:r>
      <w:r>
        <w:rPr>
          <w:rFonts w:hint="eastAsia" w:hAnsi="宋体" w:cs="宋体"/>
          <w:szCs w:val="32"/>
        </w:rPr>
        <w:t>1927年9月，毛泽东同志亲临铜鼓，指挥发动湘赣边界秋收起义。</w:t>
      </w:r>
      <w:r>
        <w:rPr>
          <w:rFonts w:hint="eastAsia" w:hAnsi="宋体" w:cs="宋体"/>
          <w:kern w:val="0"/>
          <w:szCs w:val="32"/>
          <w:lang w:bidi="ar"/>
        </w:rPr>
        <w:t>毛泽东在浏阳张家坊遇险并在铜鼓排埠月形湾机智脱险后，抵达铜鼓，将集结在安源、铜鼓、修水的武装力量统一改编为工农革命军第一军第一师，正式公开宣布组建前敌委员会，命令全师按新确定的工农革命军第一军第一师的建制宣布起义。在铜鼓期间，毛泽东还曾亲临工农革命军驻地蓝家祠等地，以及部队在定江河南岸武曲宫设立的具有人民军队最早军校雏形的新兵训练处等地，看望慰问部队官兵、检查起义的准备和训练情况。</w:t>
      </w:r>
      <w:r>
        <w:rPr>
          <w:rFonts w:hint="eastAsia" w:hAnsi="宋体" w:cs="宋体"/>
          <w:szCs w:val="32"/>
        </w:rPr>
        <w:t>秋收起义是继南昌起义之后中国共产党领导的又一</w:t>
      </w:r>
      <w:r>
        <w:rPr>
          <w:rFonts w:hint="eastAsia" w:hAnsiTheme="majorEastAsia" w:cstheme="majorEastAsia"/>
          <w:szCs w:val="32"/>
        </w:rPr>
        <w:t>次著名的武装起义，</w:t>
      </w:r>
      <w:r>
        <w:rPr>
          <w:rStyle w:val="21"/>
          <w:rFonts w:hint="eastAsia" w:ascii="仿宋_GB2312" w:eastAsia="仿宋_GB2312" w:hAnsiTheme="majorEastAsia" w:cstheme="majorEastAsia"/>
          <w:b w:val="0"/>
          <w:bCs/>
          <w:szCs w:val="32"/>
          <w:shd w:val="clear" w:color="auto" w:fill="FFFFFF"/>
        </w:rPr>
        <w:t>是中国共产党党史、军史上的三大起义之一，</w:t>
      </w:r>
      <w:r>
        <w:rPr>
          <w:rFonts w:hint="eastAsia" w:hAnsiTheme="majorEastAsia" w:cstheme="majorEastAsia"/>
          <w:szCs w:val="32"/>
        </w:rPr>
        <w:t>它第一次打出了中国共产党领导的工农武装的旗帜。铜鼓因此成为湘赣边界秋收起义的主要爆发地和指挥中心，成为中国工农革命军的重要创建地。</w:t>
      </w:r>
    </w:p>
    <w:p>
      <w:pPr>
        <w:spacing w:line="600" w:lineRule="exact"/>
        <w:ind w:firstLine="643" w:firstLineChars="200"/>
        <w:rPr>
          <w:rFonts w:hAnsi="宋体" w:cs="宋体"/>
          <w:szCs w:val="32"/>
        </w:rPr>
      </w:pPr>
      <w:r>
        <w:rPr>
          <w:rFonts w:hint="eastAsia" w:ascii="楷体_GB2312" w:hAnsi="宋体" w:eastAsia="楷体_GB2312" w:cs="宋体"/>
          <w:b/>
          <w:bCs/>
          <w:szCs w:val="32"/>
        </w:rPr>
        <w:t>（三）铜鼓是中国共产党建立苏维埃政权的重要实践地。</w:t>
      </w:r>
      <w:r>
        <w:rPr>
          <w:rFonts w:hint="eastAsia" w:hAnsi="宋体" w:cs="宋体"/>
          <w:szCs w:val="32"/>
        </w:rPr>
        <w:t>1928年9月，中共</w:t>
      </w:r>
      <w:r>
        <w:rPr>
          <w:rFonts w:hint="eastAsia" w:hAnsi="宋体" w:cs="宋体"/>
          <w:kern w:val="0"/>
          <w:szCs w:val="32"/>
          <w:lang w:bidi="ar"/>
        </w:rPr>
        <w:t>平浏修铜四县委和红五军党委在铜鼓召开幽居会议，制定了“以平江、浏阳、修水、铜鼓为重点区域，向四周邻近各县发展，形成边境红色割据局面，创建湘鄂赣革命根据地”的方针。幽居会议后，湘鄂赣边区的革命力量得到了重新整合，党的组织、武装力量迅速发展，平浏修铜地区普遍开始建立苏维埃政权。</w:t>
      </w:r>
      <w:r>
        <w:rPr>
          <w:rFonts w:hint="eastAsia" w:hAnsi="宋体" w:cs="宋体"/>
          <w:szCs w:val="32"/>
        </w:rPr>
        <w:t>1931年9月，湘鄂赣省第一次工农兵代表大会在湖南平江召开，湘鄂赣省苏维埃政府成立。1934年1月，湘鄂赣省苏维埃政府机关迁驻铜鼓，大力发展军用和民用工业，粉碎了敌人的经济封锁。湘鄂赣革命根据地的创立和艰苦卓绝的斗争，是中国共产党领导的大革命时期、土地革命时期斗争的重要组成部分，给全国其他地方的革命斗争以有力鼓舞和推动，在全国产生了重大影响。</w:t>
      </w:r>
    </w:p>
    <w:p>
      <w:pPr>
        <w:spacing w:line="600" w:lineRule="exact"/>
        <w:ind w:firstLine="640" w:firstLineChars="200"/>
        <w:rPr>
          <w:rFonts w:ascii="黑体" w:hAnsi="黑体" w:eastAsia="黑体" w:cstheme="majorEastAsia"/>
          <w:szCs w:val="32"/>
        </w:rPr>
      </w:pPr>
      <w:r>
        <w:rPr>
          <w:rFonts w:hint="eastAsia" w:ascii="黑体" w:hAnsi="黑体" w:eastAsia="黑体" w:cs="楷体"/>
          <w:szCs w:val="32"/>
        </w:rPr>
        <w:t>三、加强革命文物保护利用重大意义</w:t>
      </w:r>
    </w:p>
    <w:p>
      <w:pPr>
        <w:tabs>
          <w:tab w:val="left" w:pos="675"/>
        </w:tabs>
        <w:spacing w:line="600" w:lineRule="exact"/>
        <w:ind w:firstLine="640" w:firstLineChars="200"/>
        <w:rPr>
          <w:rStyle w:val="21"/>
          <w:rFonts w:hAnsiTheme="majorEastAsia" w:cstheme="majorEastAsia"/>
          <w:b w:val="0"/>
          <w:bCs/>
          <w:szCs w:val="32"/>
          <w:shd w:val="clear" w:color="auto" w:fill="FFFFFF"/>
        </w:rPr>
      </w:pPr>
      <w:r>
        <w:rPr>
          <w:rFonts w:hint="eastAsia" w:hAnsiTheme="majorEastAsia" w:cstheme="majorEastAsia"/>
          <w:bCs/>
          <w:szCs w:val="32"/>
        </w:rPr>
        <w:t>铜鼓丰富的革命文物资源，蕴含着中华民族和中国共产党人的精神价值与优良传统，是中华优秀传统文化、革命文化和社会主义先进文化的重要载体。保护好、管理好、运用好革命文物，让革命文物成为开展“四史”教育、弘扬社会主义核心价值观最有说服力、感染力的生动教材和课堂。利用好革命文物进行爱国主义、集体主义、社会主义教育，能充分激发广大人民群众爱党、爱国、爱社会主义的情感，坚定革命信念，自觉弘扬社会主义核心价值观，在新时代</w:t>
      </w:r>
      <w:r>
        <w:rPr>
          <w:rStyle w:val="22"/>
          <w:rFonts w:hint="eastAsia" w:hAnsiTheme="majorEastAsia" w:cstheme="majorEastAsia"/>
          <w:bCs/>
          <w:i w:val="0"/>
          <w:iCs/>
          <w:szCs w:val="32"/>
          <w:shd w:val="clear" w:color="auto" w:fill="FFFFFF"/>
        </w:rPr>
        <w:t>自信自强、守正创新，踔厉奋发、勇毅前行。</w:t>
      </w:r>
    </w:p>
    <w:p>
      <w:pPr>
        <w:tabs>
          <w:tab w:val="left" w:pos="675"/>
        </w:tabs>
        <w:spacing w:line="600" w:lineRule="exact"/>
        <w:ind w:firstLine="640" w:firstLineChars="200"/>
        <w:rPr>
          <w:rFonts w:hAnsiTheme="majorEastAsia" w:cstheme="majorEastAsia"/>
          <w:szCs w:val="32"/>
        </w:rPr>
      </w:pPr>
      <w:r>
        <w:rPr>
          <w:rFonts w:hint="eastAsia" w:hAnsiTheme="majorEastAsia" w:cstheme="majorEastAsia"/>
          <w:bCs/>
          <w:szCs w:val="32"/>
        </w:rPr>
        <w:t>加强革命文物保护利用，是促进红色旅游发展，助力城市更新、乡村振兴的重要举措。以革命文物保护利用为抓手，整合城乡规划、乡村振兴、文化旅游、交通运输</w:t>
      </w:r>
      <w:r>
        <w:rPr>
          <w:rFonts w:hint="eastAsia" w:hAnsiTheme="majorEastAsia" w:cstheme="majorEastAsia"/>
          <w:szCs w:val="32"/>
        </w:rPr>
        <w:t>等多方资源，打造秋收起义纪念地，擦亮“铜鼓红”品牌，聚力红色研学教育基地和湘赣边区域旅游目的地建设。加强革命文物保护利用，将文化资源优势转化为经济优势，将一些低级别不可移动革命文物改造成为教育基地、民宿、村史馆，通过建设红色名村，发展红色旅游、红色研学，培育特色产业，为革命老区经济社会发展注入新的生机与活力。</w:t>
      </w:r>
    </w:p>
    <w:p>
      <w:pPr>
        <w:spacing w:line="600" w:lineRule="exact"/>
        <w:ind w:firstLine="640" w:firstLineChars="200"/>
        <w:rPr>
          <w:rFonts w:ascii="黑体" w:hAnsi="黑体" w:eastAsia="黑体"/>
          <w:bCs/>
          <w:szCs w:val="32"/>
        </w:rPr>
      </w:pPr>
      <w:r>
        <w:rPr>
          <w:rFonts w:hint="eastAsia" w:ascii="黑体" w:hAnsi="黑体" w:eastAsia="黑体"/>
          <w:bCs/>
          <w:szCs w:val="32"/>
        </w:rPr>
        <w:t>四、</w:t>
      </w:r>
      <w:r>
        <w:rPr>
          <w:rFonts w:hint="eastAsia" w:ascii="黑体" w:hAnsi="黑体" w:eastAsia="黑体" w:cs="楷体"/>
          <w:bCs/>
          <w:szCs w:val="32"/>
        </w:rPr>
        <w:t>革命文物保护利用工作</w:t>
      </w:r>
      <w:r>
        <w:rPr>
          <w:rFonts w:hint="eastAsia" w:ascii="黑体" w:hAnsi="黑体" w:eastAsia="黑体"/>
          <w:bCs/>
          <w:szCs w:val="32"/>
        </w:rPr>
        <w:t>总体研判</w:t>
      </w:r>
    </w:p>
    <w:p>
      <w:pPr>
        <w:pStyle w:val="14"/>
        <w:spacing w:before="0" w:beforeAutospacing="0" w:after="0" w:afterAutospacing="0" w:line="600" w:lineRule="exact"/>
        <w:ind w:firstLine="643" w:firstLineChars="200"/>
        <w:jc w:val="both"/>
        <w:rPr>
          <w:rFonts w:ascii="楷体_GB2312" w:hAnsi="宋体" w:eastAsia="楷体_GB2312" w:cs="宋体"/>
          <w:b/>
          <w:bCs/>
          <w:kern w:val="2"/>
          <w:sz w:val="32"/>
          <w:szCs w:val="32"/>
        </w:rPr>
      </w:pPr>
      <w:r>
        <w:rPr>
          <w:rFonts w:hint="eastAsia" w:ascii="楷体_GB2312" w:hAnsi="宋体" w:eastAsia="楷体_GB2312" w:cs="宋体"/>
          <w:b/>
          <w:bCs/>
          <w:kern w:val="2"/>
          <w:sz w:val="32"/>
          <w:szCs w:val="32"/>
        </w:rPr>
        <w:t>（一）铜鼓革命文物保护利用的优势</w:t>
      </w:r>
    </w:p>
    <w:p>
      <w:pPr>
        <w:pStyle w:val="14"/>
        <w:spacing w:before="0" w:beforeAutospacing="0" w:after="0" w:afterAutospacing="0" w:line="600" w:lineRule="exact"/>
        <w:ind w:firstLine="643" w:firstLineChars="200"/>
        <w:jc w:val="both"/>
        <w:rPr>
          <w:rStyle w:val="21"/>
          <w:rFonts w:ascii="仿宋_GB2312" w:eastAsia="仿宋_GB2312" w:hAnsiTheme="majorEastAsia" w:cstheme="majorEastAsia"/>
          <w:sz w:val="32"/>
          <w:szCs w:val="32"/>
          <w:shd w:val="clear" w:color="auto" w:fill="FFFFFF"/>
        </w:rPr>
      </w:pPr>
      <w:r>
        <w:rPr>
          <w:rStyle w:val="21"/>
          <w:rFonts w:hint="eastAsia" w:ascii="仿宋_GB2312" w:eastAsia="仿宋_GB2312" w:hAnsiTheme="majorEastAsia" w:cstheme="majorEastAsia"/>
          <w:b/>
          <w:bCs/>
          <w:sz w:val="32"/>
          <w:szCs w:val="32"/>
          <w:shd w:val="clear" w:color="auto" w:fill="FFFFFF"/>
        </w:rPr>
        <w:t>一是特色鲜明。</w:t>
      </w:r>
      <w:r>
        <w:rPr>
          <w:rStyle w:val="21"/>
          <w:rFonts w:hint="eastAsia" w:ascii="仿宋_GB2312" w:eastAsia="仿宋_GB2312" w:hAnsiTheme="majorEastAsia" w:cstheme="majorEastAsia"/>
          <w:b w:val="0"/>
          <w:sz w:val="32"/>
          <w:szCs w:val="32"/>
          <w:shd w:val="clear" w:color="auto" w:fill="FFFFFF"/>
        </w:rPr>
        <w:t>铜鼓革命文物主要是围绕湘赣边界秋收起义、湘鄂赣革命根据地、中共铜鼓党支部和县委等重大历史事件而保留下来的重要实物，是创建中国共产党领导的人民军队、建立苏维埃政权的历史见证，影响深远，意义重大。</w:t>
      </w:r>
      <w:r>
        <w:rPr>
          <w:rStyle w:val="21"/>
          <w:rFonts w:hint="eastAsia" w:ascii="仿宋_GB2312" w:hAnsi="宋体" w:eastAsia="仿宋_GB2312"/>
          <w:b/>
          <w:bCs/>
          <w:sz w:val="32"/>
          <w:szCs w:val="32"/>
          <w:shd w:val="clear" w:color="auto" w:fill="FFFFFF"/>
        </w:rPr>
        <w:t>二是种类多样</w:t>
      </w:r>
      <w:r>
        <w:rPr>
          <w:rFonts w:hint="eastAsia" w:hAnsi="宋体" w:cs="宋体"/>
          <w:b/>
          <w:bCs/>
          <w:kern w:val="2"/>
          <w:sz w:val="32"/>
          <w:szCs w:val="32"/>
          <w:shd w:val="clear" w:color="auto" w:fill="FFFFFF"/>
        </w:rPr>
        <w:t>。</w:t>
      </w:r>
      <w:r>
        <w:rPr>
          <w:rStyle w:val="21"/>
          <w:rFonts w:hint="eastAsia" w:ascii="仿宋_GB2312" w:eastAsia="仿宋_GB2312" w:hAnsiTheme="majorEastAsia" w:cstheme="majorEastAsia"/>
          <w:b w:val="0"/>
          <w:sz w:val="32"/>
          <w:szCs w:val="32"/>
          <w:shd w:val="clear" w:color="auto" w:fill="FFFFFF"/>
        </w:rPr>
        <w:t>湘赣边界秋收起义前敌委员会旧址</w:t>
      </w:r>
      <w:r>
        <w:rPr>
          <w:rFonts w:hint="eastAsia" w:hAnsi="宋体" w:cs="宋体"/>
          <w:bCs/>
          <w:kern w:val="2"/>
          <w:sz w:val="32"/>
          <w:szCs w:val="32"/>
          <w:shd w:val="clear" w:color="auto" w:fill="FFFFFF"/>
        </w:rPr>
        <w:t>、</w:t>
      </w:r>
      <w:r>
        <w:rPr>
          <w:rStyle w:val="21"/>
          <w:rFonts w:hint="eastAsia" w:ascii="仿宋_GB2312" w:eastAsia="仿宋_GB2312" w:hAnsiTheme="majorEastAsia" w:cstheme="majorEastAsia"/>
          <w:b w:val="0"/>
          <w:sz w:val="32"/>
          <w:szCs w:val="32"/>
          <w:shd w:val="clear" w:color="auto" w:fill="FFFFFF"/>
        </w:rPr>
        <w:t>湘鄂赣省苏维埃政府旧址、幽居会议旧址等不可移动革命文物原貌整体保护</w:t>
      </w:r>
      <w:r>
        <w:rPr>
          <w:rFonts w:hint="eastAsia" w:hAnsi="宋体" w:cs="宋体"/>
          <w:bCs/>
          <w:sz w:val="32"/>
          <w:szCs w:val="32"/>
        </w:rPr>
        <w:t>良好，松树炮、报刊、钱币等可移动革命文物种类齐全，红色标语遗存数量众多，保存较好。</w:t>
      </w:r>
      <w:r>
        <w:rPr>
          <w:rStyle w:val="21"/>
          <w:rFonts w:hint="eastAsia" w:ascii="仿宋_GB2312" w:hAnsi="宋体" w:eastAsia="仿宋_GB2312"/>
          <w:b/>
          <w:bCs/>
          <w:sz w:val="32"/>
          <w:szCs w:val="32"/>
          <w:shd w:val="clear" w:color="auto" w:fill="FFFFFF"/>
        </w:rPr>
        <w:t>三是分布广泛。</w:t>
      </w:r>
      <w:r>
        <w:rPr>
          <w:rStyle w:val="21"/>
          <w:rFonts w:hint="eastAsia" w:ascii="仿宋_GB2312" w:hAnsi="宋体" w:eastAsia="仿宋_GB2312"/>
          <w:b w:val="0"/>
          <w:sz w:val="32"/>
          <w:szCs w:val="32"/>
          <w:shd w:val="clear" w:color="auto" w:fill="FFFFFF"/>
        </w:rPr>
        <w:t>铜鼓六镇三乡，处处</w:t>
      </w:r>
      <w:r>
        <w:rPr>
          <w:rFonts w:hint="eastAsia" w:hAnsi="宋体" w:cs="宋体"/>
          <w:bCs/>
          <w:sz w:val="32"/>
          <w:szCs w:val="32"/>
          <w:lang w:bidi="ar"/>
        </w:rPr>
        <w:t>有革命旧址，处处有革命文物，处处有红色景区，全县犹如一个没有围墙的革命历史博物馆。</w:t>
      </w:r>
      <w:r>
        <w:rPr>
          <w:rStyle w:val="21"/>
          <w:rFonts w:hint="eastAsia" w:ascii="仿宋_GB2312" w:hAnsi="宋体" w:eastAsia="仿宋_GB2312"/>
          <w:b/>
          <w:bCs/>
          <w:sz w:val="32"/>
          <w:szCs w:val="32"/>
          <w:shd w:val="clear" w:color="auto" w:fill="FFFFFF"/>
        </w:rPr>
        <w:t>四是品质优异。</w:t>
      </w:r>
      <w:r>
        <w:rPr>
          <w:rStyle w:val="21"/>
          <w:rFonts w:hint="eastAsia" w:ascii="仿宋_GB2312" w:hAnsi="宋体" w:eastAsia="仿宋_GB2312"/>
          <w:b w:val="0"/>
          <w:sz w:val="32"/>
          <w:szCs w:val="32"/>
          <w:shd w:val="clear" w:color="auto" w:fill="FFFFFF"/>
        </w:rPr>
        <w:t>铜鼓革命旧址硬件质量高，软件服务</w:t>
      </w:r>
      <w:r>
        <w:rPr>
          <w:rStyle w:val="21"/>
          <w:rFonts w:hint="eastAsia" w:hAnsi="宋体"/>
          <w:b w:val="0"/>
          <w:sz w:val="32"/>
          <w:szCs w:val="32"/>
          <w:shd w:val="clear" w:color="auto" w:fill="FFFFFF"/>
        </w:rPr>
        <w:t>优</w:t>
      </w:r>
      <w:r>
        <w:rPr>
          <w:rStyle w:val="21"/>
          <w:rFonts w:hint="eastAsia" w:ascii="仿宋_GB2312" w:hAnsi="宋体" w:eastAsia="仿宋_GB2312"/>
          <w:b w:val="0"/>
          <w:sz w:val="32"/>
          <w:szCs w:val="32"/>
          <w:shd w:val="clear" w:color="auto" w:fill="FFFFFF"/>
        </w:rPr>
        <w:t>。秋收起义纪念地被评为国家4A级旅游景区</w:t>
      </w:r>
      <w:r>
        <w:rPr>
          <w:rStyle w:val="21"/>
          <w:rFonts w:hint="eastAsia" w:hAnsi="宋体"/>
          <w:b w:val="0"/>
          <w:sz w:val="32"/>
          <w:szCs w:val="32"/>
          <w:shd w:val="clear" w:color="auto" w:fill="FFFFFF"/>
        </w:rPr>
        <w:t>；</w:t>
      </w:r>
      <w:r>
        <w:rPr>
          <w:rFonts w:hint="eastAsia" w:hAnsi="宋体" w:cs="宋体"/>
          <w:bCs/>
          <w:sz w:val="32"/>
          <w:szCs w:val="32"/>
        </w:rPr>
        <w:t>秋收起义铜鼓纪念馆作为“秋收起义——湘赣红旗”精品线路点，收录文化和旅游部</w:t>
      </w:r>
      <w:r>
        <w:rPr>
          <w:rFonts w:hint="eastAsia" w:hAnsi="宋体" w:cs="宋体"/>
          <w:sz w:val="32"/>
          <w:szCs w:val="32"/>
          <w:shd w:val="clear" w:color="auto" w:fill="FFFFFF"/>
        </w:rPr>
        <w:t>联合中央宣传部、中央党史和文献研究院、国家发展改革委推出</w:t>
      </w:r>
      <w:r>
        <w:rPr>
          <w:rFonts w:hint="eastAsia" w:hAnsi="宋体" w:cs="宋体"/>
          <w:bCs/>
          <w:sz w:val="32"/>
          <w:szCs w:val="32"/>
        </w:rPr>
        <w:t>的“建党百年红色旅游百条精品线路”。</w:t>
      </w:r>
    </w:p>
    <w:p>
      <w:pPr>
        <w:pStyle w:val="14"/>
        <w:spacing w:before="0" w:beforeAutospacing="0" w:after="0" w:afterAutospacing="0" w:line="600" w:lineRule="exact"/>
        <w:ind w:firstLine="643" w:firstLineChars="200"/>
        <w:jc w:val="both"/>
        <w:rPr>
          <w:rFonts w:ascii="楷体_GB2312" w:hAnsi="宋体" w:eastAsia="楷体_GB2312" w:cs="宋体"/>
          <w:b/>
          <w:kern w:val="2"/>
          <w:sz w:val="32"/>
          <w:szCs w:val="32"/>
        </w:rPr>
      </w:pPr>
      <w:r>
        <w:rPr>
          <w:rFonts w:hint="eastAsia" w:ascii="楷体_GB2312" w:hAnsi="宋体" w:eastAsia="楷体_GB2312" w:cs="宋体"/>
          <w:b/>
          <w:kern w:val="2"/>
          <w:sz w:val="32"/>
          <w:szCs w:val="32"/>
        </w:rPr>
        <w:t>（二）铜鼓革命文物保护利用的不足</w:t>
      </w:r>
    </w:p>
    <w:p>
      <w:pPr>
        <w:spacing w:line="600" w:lineRule="exact"/>
        <w:ind w:firstLine="643" w:firstLineChars="200"/>
        <w:rPr>
          <w:rFonts w:hAnsiTheme="majorEastAsia" w:cstheme="majorEastAsia"/>
          <w:bCs/>
          <w:kern w:val="0"/>
          <w:szCs w:val="32"/>
          <w:lang w:bidi="ar"/>
        </w:rPr>
      </w:pPr>
      <w:r>
        <w:rPr>
          <w:rFonts w:hint="eastAsia" w:hAnsiTheme="majorEastAsia" w:cstheme="majorEastAsia"/>
          <w:b/>
          <w:bCs w:val="0"/>
          <w:szCs w:val="32"/>
        </w:rPr>
        <w:t>一是管理机制不顺。</w:t>
      </w:r>
      <w:r>
        <w:rPr>
          <w:rFonts w:hint="eastAsia" w:hAnsiTheme="majorEastAsia" w:cstheme="majorEastAsia"/>
          <w:bCs/>
          <w:szCs w:val="32"/>
        </w:rPr>
        <w:t>革命文物资源类型多样，产权复杂，隶属不同部门管理，</w:t>
      </w:r>
      <w:r>
        <w:rPr>
          <w:rFonts w:hint="eastAsia" w:hAnsiTheme="majorEastAsia" w:cstheme="majorEastAsia"/>
          <w:bCs/>
          <w:kern w:val="0"/>
          <w:szCs w:val="32"/>
          <w:lang w:bidi="ar"/>
        </w:rPr>
        <w:t>部门之间缺乏高效协调联动机制，制约了革命文物保护利用工作创新开展。</w:t>
      </w:r>
      <w:r>
        <w:rPr>
          <w:rFonts w:hint="eastAsia" w:hAnsiTheme="majorEastAsia" w:cstheme="majorEastAsia"/>
          <w:b/>
          <w:bCs w:val="0"/>
          <w:szCs w:val="32"/>
        </w:rPr>
        <w:t>二是理论研究滞后。</w:t>
      </w:r>
      <w:r>
        <w:rPr>
          <w:rFonts w:hint="eastAsia" w:hAnsiTheme="majorEastAsia" w:cstheme="majorEastAsia"/>
          <w:bCs/>
          <w:szCs w:val="32"/>
        </w:rPr>
        <w:t>对秋收起义的研究在理论体系构建上尚需进一步加强，目前铜鼓还缺乏一支有前瞻性、有影响力的研究队伍。</w:t>
      </w:r>
      <w:r>
        <w:rPr>
          <w:rFonts w:hint="eastAsia" w:hAnsiTheme="majorEastAsia" w:cstheme="majorEastAsia"/>
          <w:b/>
          <w:bCs w:val="0"/>
          <w:szCs w:val="32"/>
        </w:rPr>
        <w:t>三是产业发展短板。</w:t>
      </w:r>
      <w:r>
        <w:rPr>
          <w:rFonts w:hint="eastAsia" w:hAnsiTheme="majorEastAsia" w:cstheme="majorEastAsia"/>
          <w:bCs/>
          <w:szCs w:val="32"/>
        </w:rPr>
        <w:t>在有效利用革命文物促进经济社会发展方面，仍存在</w:t>
      </w:r>
      <w:r>
        <w:rPr>
          <w:rFonts w:hint="eastAsia" w:hAnsiTheme="majorEastAsia" w:cstheme="majorEastAsia"/>
          <w:bCs/>
          <w:kern w:val="0"/>
          <w:szCs w:val="32"/>
          <w:lang w:bidi="ar"/>
        </w:rPr>
        <w:t>产品单一、业态不足、融合不深、链条不全等问题，与其他旅游资源融合发展力度较弱，红色文化创意商品、创意演出等新业态较缺乏。</w:t>
      </w:r>
      <w:r>
        <w:rPr>
          <w:rFonts w:hint="eastAsia" w:hAnsiTheme="majorEastAsia" w:cstheme="majorEastAsia"/>
          <w:b/>
          <w:bCs w:val="0"/>
          <w:szCs w:val="32"/>
        </w:rPr>
        <w:t>四是专业人才缺乏。</w:t>
      </w:r>
      <w:r>
        <w:rPr>
          <w:rFonts w:hint="eastAsia" w:hAnsiTheme="majorEastAsia" w:cstheme="majorEastAsia"/>
          <w:bCs/>
          <w:szCs w:val="32"/>
        </w:rPr>
        <w:t>革命文物保护</w:t>
      </w:r>
      <w:r>
        <w:rPr>
          <w:rFonts w:hint="eastAsia" w:hAnsiTheme="majorEastAsia" w:cstheme="majorEastAsia"/>
          <w:bCs/>
          <w:kern w:val="0"/>
          <w:szCs w:val="32"/>
          <w:lang w:bidi="ar"/>
        </w:rPr>
        <w:t>行政管理人员、专业性人才，精通红色旅游、红色研学的运营人才较为短缺。</w:t>
      </w:r>
    </w:p>
    <w:p>
      <w:pPr>
        <w:pStyle w:val="2"/>
        <w:spacing w:after="0" w:line="600" w:lineRule="exact"/>
        <w:rPr>
          <w:lang w:bidi="ar"/>
        </w:rPr>
      </w:pPr>
      <w:r>
        <w:rPr>
          <w:lang w:bidi="ar"/>
        </w:rPr>
        <w:br w:type="page"/>
      </w:r>
    </w:p>
    <w:p>
      <w:pPr>
        <w:spacing w:line="600" w:lineRule="exact"/>
        <w:jc w:val="center"/>
        <w:rPr>
          <w:rFonts w:ascii="黑体" w:hAnsi="黑体" w:eastAsia="黑体" w:cs="黑体"/>
          <w:b/>
          <w:bCs/>
          <w:szCs w:val="32"/>
        </w:rPr>
      </w:pPr>
      <w:r>
        <w:rPr>
          <w:rFonts w:hint="eastAsia" w:ascii="黑体" w:hAnsi="黑体" w:eastAsia="黑体" w:cs="黑体"/>
          <w:b/>
          <w:bCs/>
          <w:szCs w:val="32"/>
        </w:rPr>
        <w:t>第三章    总 体 要 求</w:t>
      </w:r>
    </w:p>
    <w:p>
      <w:pPr>
        <w:pStyle w:val="14"/>
        <w:spacing w:beforeAutospacing="0" w:afterAutospacing="0" w:line="600" w:lineRule="exact"/>
        <w:ind w:left="640" w:firstLine="640"/>
        <w:rPr>
          <w:rFonts w:asciiTheme="majorEastAsia" w:hAnsiTheme="majorEastAsia" w:eastAsiaTheme="majorEastAsia" w:cstheme="majorEastAsia"/>
          <w:sz w:val="32"/>
          <w:szCs w:val="32"/>
          <w:shd w:val="clear" w:color="auto" w:fill="FFFFFF"/>
        </w:rPr>
      </w:pPr>
    </w:p>
    <w:p>
      <w:pPr>
        <w:pStyle w:val="14"/>
        <w:spacing w:before="0" w:beforeAutospacing="0" w:after="0" w:afterAutospacing="0" w:line="600" w:lineRule="exact"/>
        <w:ind w:firstLine="640" w:firstLineChars="200"/>
        <w:rPr>
          <w:rFonts w:ascii="黑体" w:hAnsi="黑体" w:eastAsia="黑体" w:cs="楷体"/>
          <w:sz w:val="32"/>
          <w:szCs w:val="32"/>
        </w:rPr>
      </w:pPr>
      <w:r>
        <w:rPr>
          <w:rFonts w:hint="eastAsia" w:ascii="黑体" w:hAnsi="黑体" w:eastAsia="黑体" w:cs="楷体"/>
          <w:sz w:val="32"/>
          <w:szCs w:val="32"/>
          <w:shd w:val="clear" w:color="auto" w:fill="FFFFFF"/>
        </w:rPr>
        <w:t>一、指导思想</w:t>
      </w:r>
    </w:p>
    <w:p>
      <w:pPr>
        <w:spacing w:line="600" w:lineRule="exact"/>
        <w:ind w:firstLine="640" w:firstLineChars="200"/>
        <w:rPr>
          <w:rFonts w:hAnsiTheme="majorEastAsia" w:cstheme="majorEastAsia"/>
          <w:b/>
          <w:bCs/>
          <w:szCs w:val="32"/>
          <w:shd w:val="clear" w:color="auto" w:fill="FFFFFF"/>
        </w:rPr>
      </w:pPr>
      <w:r>
        <w:rPr>
          <w:rFonts w:hint="eastAsia" w:hAnsiTheme="majorEastAsia" w:cstheme="majorEastAsia"/>
          <w:szCs w:val="32"/>
        </w:rPr>
        <w:t>坚持以习近平新时代中国特色社会主义思想为指导，以习近平总书记关于革命文物工作重要论述为总遵循，紧紧围绕“保护第一、加强管理、挖掘价值、有效利用、让文物活起来”的新时代文物工作方针，聚焦“作示范、勇争先”目标定位，创新革命文物保护利用体制机制和发展思路，</w:t>
      </w:r>
      <w:r>
        <w:rPr>
          <w:rFonts w:hint="eastAsia" w:hAnsiTheme="majorEastAsia" w:cstheme="majorEastAsia"/>
          <w:szCs w:val="32"/>
          <w:shd w:val="clear" w:color="auto" w:fill="FFFFFF"/>
        </w:rPr>
        <w:t>用心用情用力切实把革命文物保护好、管理好、运用好，传承红色基因，赓续红色血脉，增强精神力量，</w:t>
      </w:r>
      <w:r>
        <w:rPr>
          <w:rFonts w:hint="eastAsia" w:hAnsiTheme="majorEastAsia" w:cstheme="majorEastAsia"/>
          <w:szCs w:val="32"/>
        </w:rPr>
        <w:t>将革命文物资源优势转化为社会经济发展优势，为聚力打造“三地三区”，奋力书写革命老区“红绿”融合新篇章作出更大贡献。</w:t>
      </w:r>
    </w:p>
    <w:p>
      <w:pPr>
        <w:pStyle w:val="14"/>
        <w:spacing w:before="0" w:beforeAutospacing="0" w:after="0" w:afterAutospacing="0" w:line="600" w:lineRule="exact"/>
        <w:ind w:firstLine="640" w:firstLineChars="200"/>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二、基本原则</w:t>
      </w:r>
    </w:p>
    <w:p>
      <w:pPr>
        <w:spacing w:line="600" w:lineRule="exact"/>
        <w:ind w:firstLine="643" w:firstLineChars="200"/>
        <w:rPr>
          <w:rFonts w:hAnsi="宋体" w:cs="宋体"/>
          <w:spacing w:val="-4"/>
          <w:szCs w:val="32"/>
        </w:rPr>
      </w:pPr>
      <w:r>
        <w:rPr>
          <w:rFonts w:hint="eastAsia" w:ascii="楷体_GB2312" w:hAnsi="宋体" w:eastAsia="楷体_GB2312" w:cs="宋体"/>
          <w:b/>
          <w:bCs/>
          <w:szCs w:val="32"/>
          <w:shd w:val="clear" w:color="auto" w:fill="FFFFFF"/>
        </w:rPr>
        <w:t>——坚持党的领导，服务大局。</w:t>
      </w:r>
      <w:r>
        <w:rPr>
          <w:rFonts w:hint="eastAsia" w:hAnsiTheme="majorEastAsia" w:cstheme="majorEastAsia"/>
          <w:szCs w:val="32"/>
        </w:rPr>
        <w:t>坚持党对革命文物保护利用工作的全面领导，全面贯彻落实党中央、国务院关于文物工作的决策部署，落实革命文物工作的政治责任和领导责任，发挥革命文物工作在服务促进国民经济和社会发展大局中的积极作用。</w:t>
      </w:r>
    </w:p>
    <w:p>
      <w:pPr>
        <w:spacing w:line="600" w:lineRule="exact"/>
        <w:ind w:firstLine="643" w:firstLineChars="200"/>
        <w:rPr>
          <w:rFonts w:hAnsi="宋体" w:cs="宋体"/>
          <w:szCs w:val="32"/>
        </w:rPr>
      </w:pPr>
      <w:r>
        <w:rPr>
          <w:rFonts w:hint="eastAsia" w:ascii="楷体_GB2312" w:hAnsi="宋体" w:eastAsia="楷体_GB2312" w:cs="宋体"/>
          <w:b/>
          <w:bCs/>
          <w:szCs w:val="32"/>
          <w:shd w:val="clear" w:color="auto" w:fill="FFFFFF"/>
        </w:rPr>
        <w:t>——坚持科学保护，合理开发。</w:t>
      </w:r>
      <w:r>
        <w:rPr>
          <w:rFonts w:hint="eastAsia" w:hAnsi="宋体" w:cs="宋体"/>
          <w:szCs w:val="32"/>
          <w:shd w:val="clear" w:color="auto" w:fill="FFFFFF"/>
        </w:rPr>
        <w:t>贯彻保护第一，加强总体规划，统筹抢救性保护和预防性保护、本体保护和周边保护、单点保护和集群保护，维护革命文物资源的历史真实性、风貌完整性、文化延续性。</w:t>
      </w:r>
      <w:r>
        <w:rPr>
          <w:rFonts w:hint="eastAsia" w:hAnsi="宋体" w:cs="宋体"/>
          <w:kern w:val="0"/>
          <w:szCs w:val="32"/>
          <w:lang w:bidi="ar"/>
        </w:rPr>
        <w:t>推动革命文物与旅游休闲、绿色农业、民俗古建、城市更新等领域的开发相协调</w:t>
      </w:r>
      <w:r>
        <w:rPr>
          <w:rFonts w:hint="eastAsia" w:hAnsi="宋体" w:cs="宋体"/>
          <w:kern w:val="0"/>
          <w:szCs w:val="32"/>
          <w:lang w:eastAsia="zh-CN" w:bidi="ar"/>
        </w:rPr>
        <w:t>、</w:t>
      </w:r>
      <w:r>
        <w:rPr>
          <w:rFonts w:hint="eastAsia" w:hAnsi="宋体" w:cs="宋体"/>
          <w:kern w:val="0"/>
          <w:szCs w:val="32"/>
          <w:lang w:bidi="ar"/>
        </w:rPr>
        <w:t>相统一。</w:t>
      </w:r>
    </w:p>
    <w:p>
      <w:pPr>
        <w:spacing w:line="600" w:lineRule="exact"/>
        <w:ind w:firstLine="643" w:firstLineChars="200"/>
        <w:rPr>
          <w:rFonts w:hAnsi="宋体" w:cs="宋体"/>
          <w:szCs w:val="32"/>
        </w:rPr>
      </w:pPr>
      <w:r>
        <w:rPr>
          <w:rFonts w:hint="eastAsia" w:ascii="楷体_GB2312" w:hAnsi="宋体" w:eastAsia="楷体_GB2312" w:cs="宋体"/>
          <w:b/>
          <w:bCs/>
          <w:szCs w:val="32"/>
          <w:shd w:val="clear" w:color="auto" w:fill="FFFFFF"/>
        </w:rPr>
        <w:t>——坚持守正创新，教育为重。</w:t>
      </w:r>
      <w:r>
        <w:rPr>
          <w:rFonts w:hint="eastAsia" w:hAnsi="宋体" w:cs="宋体"/>
          <w:szCs w:val="32"/>
          <w:shd w:val="clear" w:color="auto" w:fill="FFFFFF"/>
        </w:rPr>
        <w:t>充分发挥革命文物在党史学习教育、革命传统教育、爱国主义教育中的重要作用，讲好党的故事、革命的故事、英雄的故事，让红色基因、革命薪火代代相传。</w:t>
      </w:r>
      <w:r>
        <w:rPr>
          <w:rFonts w:hint="eastAsia" w:hAnsi="宋体" w:cs="宋体"/>
          <w:kern w:val="0"/>
          <w:szCs w:val="32"/>
          <w:lang w:bidi="ar"/>
        </w:rPr>
        <w:t>引导广大人民群众特别是青少年学党史、知党恩、跟党走，使党的优良传统和作风深入人心。</w:t>
      </w:r>
    </w:p>
    <w:p>
      <w:pPr>
        <w:spacing w:line="600" w:lineRule="exact"/>
        <w:ind w:firstLine="643" w:firstLineChars="200"/>
        <w:rPr>
          <w:rFonts w:hAnsi="宋体" w:cs="宋体"/>
          <w:szCs w:val="32"/>
        </w:rPr>
      </w:pPr>
      <w:r>
        <w:rPr>
          <w:rFonts w:hint="eastAsia" w:ascii="楷体_GB2312" w:hAnsi="宋体" w:eastAsia="楷体_GB2312" w:cs="宋体"/>
          <w:b/>
          <w:bCs/>
          <w:szCs w:val="32"/>
          <w:shd w:val="clear" w:color="auto" w:fill="FFFFFF"/>
        </w:rPr>
        <w:t>——坚持共建共享，融合发展。</w:t>
      </w:r>
      <w:r>
        <w:rPr>
          <w:rFonts w:hint="eastAsia" w:hAnsi="宋体" w:cs="宋体"/>
          <w:szCs w:val="32"/>
          <w:shd w:val="clear" w:color="auto" w:fill="FFFFFF"/>
        </w:rPr>
        <w:t>加强前瞻谋划、整体推进，促进革命文物保护利用与文化建设、旅游提质相结合，与乡村振兴、老区发展、城市更新相结合，与惠及民生、增进福祉相结合，</w:t>
      </w:r>
      <w:r>
        <w:rPr>
          <w:rFonts w:hint="eastAsia" w:hAnsi="宋体" w:cs="宋体"/>
          <w:kern w:val="0"/>
          <w:szCs w:val="32"/>
          <w:lang w:bidi="ar"/>
        </w:rPr>
        <w:t>进一步引领和带动社会力量参与革命文物保护利用，</w:t>
      </w:r>
      <w:r>
        <w:rPr>
          <w:rFonts w:hint="eastAsia" w:hAnsi="宋体" w:cs="宋体"/>
          <w:szCs w:val="32"/>
          <w:shd w:val="clear" w:color="auto" w:fill="FFFFFF"/>
        </w:rPr>
        <w:t>激发新时代革命文物工作的动力和活力。</w:t>
      </w:r>
    </w:p>
    <w:p>
      <w:pPr>
        <w:pStyle w:val="14"/>
        <w:spacing w:before="0" w:beforeAutospacing="0" w:after="0" w:afterAutospacing="0" w:line="600" w:lineRule="exact"/>
        <w:ind w:firstLine="640" w:firstLineChars="200"/>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三、战略定位</w:t>
      </w:r>
    </w:p>
    <w:p>
      <w:pPr>
        <w:spacing w:line="600" w:lineRule="exact"/>
        <w:ind w:firstLine="643" w:firstLineChars="200"/>
        <w:rPr>
          <w:rFonts w:hAnsi="宋体" w:cs="宋体"/>
          <w:bCs/>
          <w:kern w:val="0"/>
          <w:szCs w:val="32"/>
        </w:rPr>
      </w:pPr>
      <w:r>
        <w:rPr>
          <w:rFonts w:hint="eastAsia" w:ascii="楷体_GB2312" w:hAnsi="宋体" w:eastAsia="楷体_GB2312" w:cs="宋体"/>
          <w:b/>
          <w:bCs/>
          <w:szCs w:val="32"/>
          <w:shd w:val="clear" w:color="auto" w:fill="FFFFFF"/>
        </w:rPr>
        <w:t>（一）打造红色基因传承高地。</w:t>
      </w:r>
      <w:r>
        <w:rPr>
          <w:rFonts w:hint="eastAsia" w:hAnsiTheme="majorEastAsia" w:cstheme="majorEastAsia"/>
          <w:szCs w:val="32"/>
        </w:rPr>
        <w:t>进一步唱响铜鼓“全苏区县”、秋收起义主要爆发地和指挥中心、湘鄂赣革命根据地、中国工农革命军和土地革命发源地之一等红色品牌，</w:t>
      </w:r>
      <w:r>
        <w:rPr>
          <w:rFonts w:hint="eastAsia" w:hAnsi="宋体" w:cs="宋体"/>
          <w:bCs/>
          <w:kern w:val="0"/>
          <w:szCs w:val="32"/>
        </w:rPr>
        <w:t>发扬红色传统，传承革命精神，赓续红色血脉，全力打造红色基因高地。</w:t>
      </w:r>
    </w:p>
    <w:p>
      <w:pPr>
        <w:spacing w:line="600" w:lineRule="exact"/>
        <w:ind w:firstLine="643" w:firstLineChars="200"/>
        <w:rPr>
          <w:rFonts w:hAnsiTheme="majorEastAsia" w:cstheme="majorEastAsia"/>
          <w:kern w:val="0"/>
          <w:szCs w:val="32"/>
          <w:lang w:bidi="ar"/>
        </w:rPr>
      </w:pPr>
      <w:r>
        <w:rPr>
          <w:rFonts w:hint="eastAsia" w:ascii="楷体_GB2312" w:hAnsi="宋体" w:eastAsia="楷体_GB2312" w:cs="宋体"/>
          <w:b/>
          <w:bCs/>
          <w:szCs w:val="32"/>
          <w:shd w:val="clear" w:color="auto" w:fill="FFFFFF"/>
        </w:rPr>
        <w:t>（二）引领湘鄂赣片区革命文物保护利用的先行示范区。</w:t>
      </w:r>
      <w:r>
        <w:rPr>
          <w:rFonts w:hint="eastAsia" w:hAnsiTheme="majorEastAsia" w:cstheme="majorEastAsia"/>
          <w:kern w:val="0"/>
          <w:szCs w:val="32"/>
          <w:lang w:bidi="ar"/>
        </w:rPr>
        <w:t>创新革命文物保护利用体制机制，形成革命文物保护利用更多可复制、可推广的经验做法，</w:t>
      </w:r>
      <w:r>
        <w:rPr>
          <w:rFonts w:hint="eastAsia" w:hAnsiTheme="majorEastAsia" w:cstheme="majorEastAsia"/>
          <w:spacing w:val="-9"/>
          <w:szCs w:val="32"/>
        </w:rPr>
        <w:t>使铜鼓成为江西省乃至湘鄂赣</w:t>
      </w:r>
      <w:r>
        <w:rPr>
          <w:rFonts w:hint="eastAsia" w:hAnsiTheme="majorEastAsia" w:cstheme="majorEastAsia"/>
          <w:spacing w:val="-4"/>
          <w:szCs w:val="32"/>
        </w:rPr>
        <w:t>片区</w:t>
      </w:r>
      <w:r>
        <w:rPr>
          <w:rFonts w:hint="eastAsia" w:hAnsiTheme="majorEastAsia" w:cstheme="majorEastAsia"/>
          <w:spacing w:val="-9"/>
          <w:szCs w:val="32"/>
        </w:rPr>
        <w:t>革命文物保护利</w:t>
      </w:r>
      <w:r>
        <w:rPr>
          <w:rFonts w:hint="eastAsia" w:hAnsiTheme="majorEastAsia" w:cstheme="majorEastAsia"/>
          <w:spacing w:val="-4"/>
          <w:szCs w:val="32"/>
        </w:rPr>
        <w:t>用</w:t>
      </w:r>
      <w:r>
        <w:rPr>
          <w:rFonts w:hint="eastAsia" w:hAnsiTheme="majorEastAsia" w:cstheme="majorEastAsia"/>
          <w:spacing w:val="-9"/>
          <w:szCs w:val="32"/>
        </w:rPr>
        <w:t>的先行示范区，</w:t>
      </w:r>
      <w:r>
        <w:rPr>
          <w:rFonts w:hint="eastAsia" w:hAnsiTheme="majorEastAsia" w:cstheme="majorEastAsia"/>
          <w:kern w:val="0"/>
          <w:szCs w:val="32"/>
          <w:lang w:bidi="ar"/>
        </w:rPr>
        <w:t>为全国革命文物保护利用改革创新实践做出积极贡献。</w:t>
      </w:r>
    </w:p>
    <w:p>
      <w:pPr>
        <w:spacing w:line="600" w:lineRule="exact"/>
        <w:ind w:firstLine="643" w:firstLineChars="200"/>
        <w:rPr>
          <w:rFonts w:hAnsiTheme="majorEastAsia" w:cstheme="majorEastAsia"/>
          <w:szCs w:val="32"/>
        </w:rPr>
      </w:pPr>
      <w:r>
        <w:rPr>
          <w:rFonts w:hint="eastAsia" w:ascii="楷体_GB2312" w:hAnsi="宋体" w:eastAsia="楷体_GB2312" w:cs="宋体"/>
          <w:b/>
          <w:bCs/>
          <w:szCs w:val="32"/>
          <w:shd w:val="clear" w:color="auto" w:fill="FFFFFF"/>
        </w:rPr>
        <w:t>（三）助力革命老区高质量发展的典范。</w:t>
      </w:r>
      <w:r>
        <w:rPr>
          <w:rFonts w:hint="eastAsia" w:hAnsiTheme="majorEastAsia" w:cstheme="majorEastAsia"/>
          <w:szCs w:val="32"/>
        </w:rPr>
        <w:t>积极探索革命文物保护利用与经济互融发展。充分发挥革命文物在促进经济社会发展，实现乡村振兴中的独特作用。推动革命文物内涵价值和空间特质融入现代生活，打造成为助力革命老区高质量发展的典范。</w:t>
      </w:r>
    </w:p>
    <w:p>
      <w:pPr>
        <w:pStyle w:val="14"/>
        <w:spacing w:before="0" w:beforeAutospacing="0" w:after="0" w:afterAutospacing="0" w:line="600" w:lineRule="exact"/>
        <w:ind w:firstLine="640" w:firstLineChars="200"/>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四、发展目标</w:t>
      </w:r>
    </w:p>
    <w:p>
      <w:pPr>
        <w:pStyle w:val="14"/>
        <w:spacing w:before="0" w:beforeAutospacing="0" w:after="0" w:afterAutospacing="0" w:line="600" w:lineRule="exact"/>
        <w:ind w:firstLine="640" w:firstLineChars="200"/>
        <w:jc w:val="both"/>
        <w:rPr>
          <w:rFonts w:hAnsiTheme="majorEastAsia" w:cstheme="majorEastAsia"/>
          <w:sz w:val="32"/>
          <w:szCs w:val="32"/>
          <w:lang w:bidi="ar"/>
        </w:rPr>
      </w:pPr>
      <w:r>
        <w:rPr>
          <w:rFonts w:hint="eastAsia" w:hAnsiTheme="majorEastAsia" w:cstheme="majorEastAsia"/>
          <w:sz w:val="32"/>
          <w:szCs w:val="32"/>
          <w:shd w:val="clear" w:color="auto" w:fill="FFFFFF"/>
        </w:rPr>
        <w:t>革命文物资源家底进一步廓清，整体保护格局基本形成，保护水平全面提升，系统研究、科技应用更加深入，阐释展示、教育传承提质增效，符合新时代要求的革命文物保护利用传承体系基本健全，</w:t>
      </w:r>
      <w:r>
        <w:rPr>
          <w:rFonts w:hint="eastAsia" w:hAnsiTheme="majorEastAsia" w:cstheme="majorEastAsia"/>
          <w:sz w:val="32"/>
          <w:szCs w:val="32"/>
          <w:lang w:bidi="ar"/>
        </w:rPr>
        <w:t>文物保护成果惠及广大人民群众，更好地促进经济社会高质量发展。</w:t>
      </w:r>
    </w:p>
    <w:p>
      <w:pPr>
        <w:spacing w:line="600" w:lineRule="exact"/>
        <w:ind w:firstLine="640" w:firstLineChars="200"/>
        <w:rPr>
          <w:rFonts w:hAnsi="宋体" w:cs="宋体"/>
          <w:szCs w:val="32"/>
        </w:rPr>
      </w:pPr>
      <w:r>
        <w:rPr>
          <w:rFonts w:hint="eastAsia" w:hAnsi="宋体" w:cs="宋体"/>
          <w:szCs w:val="32"/>
        </w:rPr>
        <w:t>至2025年，革命文物基础工作更加扎实，集中连片保护和整体展示传播成效明显，教育功能愈加彰显，成功创建江西省革命文物保护利用示范县，推出一批示范性案例。至2030年，革命文物保护利用传承体系基本建成，革命文物整体连片保护力显著改善，活化利用创新力显著提升，革命文化的生命力和影响力显著增强，形成一批可复制可推广的成功经验，建成在全国有较大影响力的革命文物保护利用强县。</w:t>
      </w:r>
    </w:p>
    <w:p>
      <w:pPr>
        <w:pStyle w:val="14"/>
        <w:spacing w:before="0" w:beforeAutospacing="0" w:after="0" w:afterAutospacing="0" w:line="600" w:lineRule="exact"/>
        <w:ind w:firstLine="643" w:firstLineChars="200"/>
        <w:jc w:val="both"/>
        <w:rPr>
          <w:rFonts w:hAnsiTheme="majorEastAsia" w:cstheme="majorEastAsia"/>
          <w:sz w:val="32"/>
          <w:szCs w:val="32"/>
          <w:shd w:val="clear" w:color="auto" w:fill="FFFFFF"/>
        </w:rPr>
      </w:pPr>
      <w:r>
        <w:rPr>
          <w:rFonts w:hint="eastAsia" w:ascii="楷体_GB2312" w:hAnsi="宋体" w:eastAsia="楷体_GB2312" w:cs="宋体"/>
          <w:b/>
          <w:bCs/>
          <w:kern w:val="2"/>
          <w:sz w:val="32"/>
          <w:szCs w:val="32"/>
          <w:shd w:val="clear" w:color="auto" w:fill="FFFFFF"/>
        </w:rPr>
        <w:t>——革命文物保护良好。</w:t>
      </w:r>
      <w:r>
        <w:rPr>
          <w:rFonts w:hint="eastAsia" w:hAnsiTheme="majorEastAsia" w:cstheme="majorEastAsia"/>
          <w:sz w:val="32"/>
          <w:szCs w:val="32"/>
          <w:lang w:bidi="ar"/>
        </w:rPr>
        <w:t>到 2030年，省级及以上不可移动革命文物保护单位达到12个，向公众开放率达到100%，成为秋收起义历史、解放军军史和苏区历史重要展示区和体验区。</w:t>
      </w:r>
    </w:p>
    <w:p>
      <w:pPr>
        <w:spacing w:line="600" w:lineRule="exact"/>
        <w:ind w:firstLine="643" w:firstLineChars="200"/>
        <w:rPr>
          <w:rFonts w:hAnsiTheme="majorEastAsia" w:cstheme="majorEastAsia"/>
          <w:szCs w:val="32"/>
          <w:shd w:val="clear" w:color="auto" w:fill="FFFFFF"/>
        </w:rPr>
      </w:pPr>
      <w:r>
        <w:rPr>
          <w:rFonts w:hint="eastAsia" w:ascii="楷体_GB2312" w:hAnsi="宋体" w:eastAsia="楷体_GB2312" w:cs="宋体"/>
          <w:b/>
          <w:bCs/>
          <w:szCs w:val="32"/>
          <w:shd w:val="clear" w:color="auto" w:fill="FFFFFF"/>
        </w:rPr>
        <w:t>——革命精神深入人心。</w:t>
      </w:r>
      <w:r>
        <w:rPr>
          <w:rFonts w:hint="eastAsia" w:hAnsiTheme="majorEastAsia" w:cstheme="majorEastAsia"/>
          <w:spacing w:val="-9"/>
          <w:szCs w:val="32"/>
        </w:rPr>
        <w:t>井冈山精神、苏区精神和长征精神等革命精神</w:t>
      </w:r>
      <w:r>
        <w:rPr>
          <w:rFonts w:hint="eastAsia" w:hAnsiTheme="majorEastAsia" w:cstheme="majorEastAsia"/>
          <w:spacing w:val="-4"/>
          <w:szCs w:val="32"/>
        </w:rPr>
        <w:t>进一步传承弘扬</w:t>
      </w:r>
      <w:r>
        <w:rPr>
          <w:rFonts w:hint="eastAsia" w:hAnsiTheme="majorEastAsia" w:cstheme="majorEastAsia"/>
          <w:kern w:val="0"/>
          <w:szCs w:val="32"/>
          <w:lang w:bidi="ar"/>
        </w:rPr>
        <w:t xml:space="preserve">，一批革命遗址、革命旧址和纪念设施成为各级党校教学课堂和新时代爱国主义教育实践研学基地，“铜鼓红”品牌影响力不断提升。 </w:t>
      </w:r>
    </w:p>
    <w:p>
      <w:pPr>
        <w:spacing w:line="600" w:lineRule="exact"/>
        <w:ind w:firstLine="643" w:firstLineChars="200"/>
        <w:rPr>
          <w:rFonts w:hAnsiTheme="majorEastAsia" w:cstheme="majorEastAsia"/>
          <w:b/>
          <w:bCs/>
          <w:szCs w:val="32"/>
        </w:rPr>
      </w:pPr>
      <w:r>
        <w:rPr>
          <w:rFonts w:hint="eastAsia" w:ascii="楷体_GB2312" w:hAnsi="宋体" w:eastAsia="楷体_GB2312" w:cs="宋体"/>
          <w:b/>
          <w:bCs/>
          <w:szCs w:val="32"/>
          <w:shd w:val="clear" w:color="auto" w:fill="FFFFFF"/>
        </w:rPr>
        <w:t>——革命文艺精品荟萃。</w:t>
      </w:r>
      <w:r>
        <w:rPr>
          <w:rFonts w:hint="eastAsia" w:hAnsiTheme="majorEastAsia" w:cstheme="majorEastAsia"/>
          <w:kern w:val="0"/>
          <w:szCs w:val="32"/>
          <w:lang w:bidi="ar"/>
        </w:rPr>
        <w:t>到 2030 年红色文艺作品精品数量达到15 个，涌现出一批在全省、全国具有影响力的红色文艺领军人才和文艺精品。</w:t>
      </w:r>
    </w:p>
    <w:p>
      <w:pPr>
        <w:spacing w:line="600" w:lineRule="exact"/>
        <w:ind w:firstLine="643" w:firstLineChars="200"/>
        <w:rPr>
          <w:rFonts w:hAnsiTheme="majorEastAsia" w:cstheme="majorEastAsia"/>
          <w:b/>
          <w:bCs/>
          <w:sz w:val="22"/>
          <w:szCs w:val="28"/>
        </w:rPr>
      </w:pPr>
      <w:r>
        <w:rPr>
          <w:rFonts w:hint="eastAsia" w:ascii="楷体_GB2312" w:hAnsi="宋体" w:eastAsia="楷体_GB2312" w:cs="宋体"/>
          <w:b/>
          <w:bCs/>
          <w:szCs w:val="32"/>
          <w:shd w:val="clear" w:color="auto" w:fill="FFFFFF"/>
        </w:rPr>
        <w:t>——红色产业兴旺发达。</w:t>
      </w:r>
      <w:r>
        <w:rPr>
          <w:rFonts w:hint="eastAsia" w:hAnsiTheme="majorEastAsia" w:cstheme="majorEastAsia"/>
          <w:kern w:val="0"/>
          <w:szCs w:val="32"/>
          <w:lang w:bidi="ar"/>
        </w:rPr>
        <w:t xml:space="preserve">以红色旅游为先导，“红色+”战略深入实施，实现红色文商旅体深度融合，红色文化产业规模快速增长，到 2030年，红色旅游年接待人数达到 500万人次。 </w:t>
      </w:r>
    </w:p>
    <w:p/>
    <w:p>
      <w:pPr>
        <w:pStyle w:val="35"/>
        <w:spacing w:after="0" w:line="600" w:lineRule="exact"/>
        <w:jc w:val="center"/>
        <w:rPr>
          <w:rFonts w:ascii="仿宋_GB2312" w:eastAsia="仿宋_GB2312" w:hAnsiTheme="majorEastAsia" w:cstheme="majorEastAsia"/>
          <w:sz w:val="32"/>
          <w:szCs w:val="32"/>
        </w:rPr>
      </w:pPr>
      <w:r>
        <w:rPr>
          <w:rFonts w:hint="eastAsia" w:ascii="仿宋_GB2312" w:eastAsia="仿宋_GB2312" w:hAnsiTheme="majorEastAsia" w:cstheme="majorEastAsia"/>
          <w:b/>
          <w:bCs/>
          <w:sz w:val="32"/>
          <w:szCs w:val="32"/>
          <w:lang w:val="en-US" w:eastAsia="zh-CN"/>
        </w:rPr>
        <w:t>表1   铜鼓县革命文物保护利用</w:t>
      </w:r>
      <w:r>
        <w:rPr>
          <w:rFonts w:hint="eastAsia" w:ascii="仿宋_GB2312" w:eastAsia="仿宋_GB2312" w:hAnsiTheme="majorEastAsia" w:cstheme="majorEastAsia"/>
          <w:b/>
          <w:bCs/>
          <w:sz w:val="32"/>
          <w:szCs w:val="32"/>
        </w:rPr>
        <w:t>主要</w:t>
      </w:r>
      <w:r>
        <w:rPr>
          <w:rFonts w:hint="eastAsia" w:ascii="仿宋_GB2312" w:eastAsia="仿宋_GB2312" w:hAnsiTheme="majorEastAsia" w:cstheme="majorEastAsia"/>
          <w:b/>
          <w:bCs/>
          <w:sz w:val="32"/>
          <w:szCs w:val="32"/>
          <w:lang w:val="en-US" w:eastAsia="zh-CN"/>
        </w:rPr>
        <w:t>发展</w:t>
      </w:r>
      <w:r>
        <w:rPr>
          <w:rFonts w:hint="eastAsia" w:ascii="仿宋_GB2312" w:eastAsia="仿宋_GB2312" w:hAnsiTheme="majorEastAsia" w:cstheme="majorEastAsia"/>
          <w:b/>
          <w:bCs/>
          <w:sz w:val="32"/>
          <w:szCs w:val="32"/>
        </w:rPr>
        <w:t>指标表</w:t>
      </w:r>
    </w:p>
    <w:p/>
    <w:tbl>
      <w:tblPr>
        <w:tblStyle w:val="18"/>
        <w:tblW w:w="8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93"/>
        <w:gridCol w:w="3402"/>
        <w:gridCol w:w="915"/>
        <w:gridCol w:w="1008"/>
        <w:gridCol w:w="964"/>
        <w:gridCol w:w="1020"/>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693" w:type="dxa"/>
            <w:shd w:val="clear" w:color="auto" w:fill="FFFFFF"/>
            <w:vAlign w:val="center"/>
          </w:tcPr>
          <w:p>
            <w:pPr>
              <w:pStyle w:val="36"/>
              <w:spacing w:line="320" w:lineRule="exact"/>
              <w:ind w:firstLine="0"/>
              <w:jc w:val="center"/>
              <w:rPr>
                <w:rFonts w:ascii="仿宋_GB2312" w:eastAsia="仿宋_GB2312" w:hAnsiTheme="majorEastAsia" w:cstheme="majorEastAsia"/>
              </w:rPr>
            </w:pPr>
            <w:r>
              <w:rPr>
                <w:rFonts w:hint="eastAsia" w:ascii="仿宋_GB2312" w:eastAsia="仿宋_GB2312" w:hAnsiTheme="majorEastAsia" w:cstheme="majorEastAsia"/>
                <w:b/>
                <w:bCs/>
              </w:rPr>
              <w:t>序号</w:t>
            </w:r>
          </w:p>
        </w:tc>
        <w:tc>
          <w:tcPr>
            <w:tcW w:w="3402" w:type="dxa"/>
            <w:shd w:val="clear" w:color="auto" w:fill="FFFFFF"/>
            <w:vAlign w:val="center"/>
          </w:tcPr>
          <w:p>
            <w:pPr>
              <w:pStyle w:val="36"/>
              <w:spacing w:line="320" w:lineRule="exact"/>
              <w:ind w:firstLine="0"/>
              <w:jc w:val="center"/>
              <w:rPr>
                <w:rFonts w:ascii="仿宋_GB2312" w:eastAsia="仿宋_GB2312" w:hAnsiTheme="majorEastAsia" w:cstheme="majorEastAsia"/>
              </w:rPr>
            </w:pPr>
            <w:r>
              <w:rPr>
                <w:rFonts w:hint="eastAsia" w:ascii="仿宋_GB2312" w:eastAsia="仿宋_GB2312" w:hAnsiTheme="majorEastAsia" w:cstheme="majorEastAsia"/>
                <w:b/>
                <w:bCs/>
              </w:rPr>
              <w:t>指</w:t>
            </w:r>
            <w:r>
              <w:rPr>
                <w:rFonts w:hint="eastAsia" w:ascii="仿宋_GB2312" w:eastAsia="仿宋_GB2312" w:hAnsiTheme="majorEastAsia" w:cstheme="majorEastAsia"/>
                <w:b/>
                <w:bCs/>
                <w:lang w:val="en-US" w:eastAsia="zh-CN"/>
              </w:rPr>
              <w:t xml:space="preserve">  </w:t>
            </w:r>
            <w:r>
              <w:rPr>
                <w:rFonts w:hint="eastAsia" w:ascii="仿宋_GB2312" w:eastAsia="仿宋_GB2312" w:hAnsiTheme="majorEastAsia" w:cstheme="majorEastAsia"/>
                <w:b/>
                <w:bCs/>
              </w:rPr>
              <w:t>标</w:t>
            </w:r>
          </w:p>
        </w:tc>
        <w:tc>
          <w:tcPr>
            <w:tcW w:w="915" w:type="dxa"/>
            <w:shd w:val="clear" w:color="auto" w:fill="FFFFFF"/>
            <w:vAlign w:val="center"/>
          </w:tcPr>
          <w:p>
            <w:pPr>
              <w:pStyle w:val="36"/>
              <w:spacing w:line="320" w:lineRule="exact"/>
              <w:ind w:firstLine="0"/>
              <w:jc w:val="center"/>
              <w:rPr>
                <w:rFonts w:ascii="仿宋_GB2312" w:eastAsia="仿宋_GB2312" w:hAnsiTheme="majorEastAsia" w:cstheme="majorEastAsia"/>
              </w:rPr>
            </w:pPr>
            <w:r>
              <w:rPr>
                <w:rFonts w:hint="eastAsia" w:ascii="仿宋_GB2312" w:eastAsia="仿宋_GB2312" w:hAnsiTheme="majorEastAsia" w:cstheme="majorEastAsia"/>
                <w:b/>
                <w:bCs/>
              </w:rPr>
              <w:t>单位</w:t>
            </w:r>
          </w:p>
        </w:tc>
        <w:tc>
          <w:tcPr>
            <w:tcW w:w="1008" w:type="dxa"/>
            <w:shd w:val="clear" w:color="auto" w:fill="FFFFFF"/>
            <w:vAlign w:val="center"/>
          </w:tcPr>
          <w:p>
            <w:pPr>
              <w:pStyle w:val="36"/>
              <w:spacing w:line="320" w:lineRule="exact"/>
              <w:ind w:firstLine="0"/>
              <w:jc w:val="center"/>
              <w:rPr>
                <w:rFonts w:ascii="仿宋_GB2312" w:eastAsia="仿宋_GB2312" w:hAnsiTheme="majorEastAsia" w:cstheme="majorEastAsia"/>
              </w:rPr>
            </w:pPr>
            <w:r>
              <w:rPr>
                <w:rFonts w:hint="eastAsia" w:ascii="仿宋_GB2312" w:eastAsia="仿宋_GB2312" w:hAnsiTheme="majorEastAsia" w:cstheme="majorEastAsia"/>
                <w:b/>
                <w:bCs/>
              </w:rPr>
              <w:t>202</w:t>
            </w:r>
            <w:r>
              <w:rPr>
                <w:rFonts w:hint="eastAsia" w:ascii="仿宋_GB2312" w:eastAsia="仿宋_GB2312" w:hAnsiTheme="majorEastAsia" w:cstheme="majorEastAsia"/>
                <w:b/>
                <w:bCs/>
                <w:lang w:val="en-US" w:eastAsia="zh-CN"/>
              </w:rPr>
              <w:t>2</w:t>
            </w:r>
            <w:r>
              <w:rPr>
                <w:rFonts w:hint="eastAsia" w:ascii="仿宋_GB2312" w:eastAsia="仿宋_GB2312" w:hAnsiTheme="majorEastAsia" w:cstheme="majorEastAsia"/>
                <w:b/>
                <w:bCs/>
              </w:rPr>
              <w:t xml:space="preserve"> 年</w:t>
            </w:r>
          </w:p>
        </w:tc>
        <w:tc>
          <w:tcPr>
            <w:tcW w:w="964" w:type="dxa"/>
            <w:shd w:val="clear" w:color="auto" w:fill="FFFFFF"/>
            <w:vAlign w:val="center"/>
          </w:tcPr>
          <w:p>
            <w:pPr>
              <w:pStyle w:val="36"/>
              <w:spacing w:line="320" w:lineRule="exact"/>
              <w:ind w:firstLine="0"/>
              <w:jc w:val="center"/>
              <w:rPr>
                <w:rFonts w:ascii="仿宋_GB2312" w:eastAsia="仿宋_GB2312" w:hAnsiTheme="majorEastAsia" w:cstheme="majorEastAsia"/>
                <w:b/>
                <w:bCs/>
                <w:lang w:val="en-US" w:eastAsia="zh-CN"/>
              </w:rPr>
            </w:pPr>
            <w:r>
              <w:rPr>
                <w:rFonts w:hint="eastAsia" w:ascii="仿宋_GB2312" w:eastAsia="仿宋_GB2312" w:hAnsiTheme="majorEastAsia" w:cstheme="majorEastAsia"/>
                <w:b/>
                <w:bCs/>
                <w:lang w:val="en-US" w:eastAsia="zh-CN"/>
              </w:rPr>
              <w:t>2025年</w:t>
            </w:r>
          </w:p>
        </w:tc>
        <w:tc>
          <w:tcPr>
            <w:tcW w:w="1020" w:type="dxa"/>
            <w:shd w:val="clear" w:color="auto" w:fill="FFFFFF"/>
            <w:vAlign w:val="center"/>
          </w:tcPr>
          <w:p>
            <w:pPr>
              <w:pStyle w:val="36"/>
              <w:spacing w:line="320" w:lineRule="exact"/>
              <w:ind w:firstLine="0"/>
              <w:jc w:val="center"/>
              <w:rPr>
                <w:rFonts w:ascii="仿宋_GB2312" w:eastAsia="仿宋_GB2312" w:hAnsiTheme="majorEastAsia" w:cstheme="majorEastAsia"/>
                <w:b/>
                <w:bCs/>
                <w:lang w:val="en-US" w:eastAsia="zh-CN"/>
              </w:rPr>
            </w:pPr>
            <w:r>
              <w:rPr>
                <w:rFonts w:hint="eastAsia" w:ascii="仿宋_GB2312" w:eastAsia="仿宋_GB2312" w:hAnsiTheme="majorEastAsia" w:cstheme="majorEastAsia"/>
                <w:b/>
                <w:bCs/>
                <w:lang w:val="en-US" w:eastAsia="zh-CN"/>
              </w:rPr>
              <w:t>2030年</w:t>
            </w:r>
          </w:p>
        </w:tc>
        <w:tc>
          <w:tcPr>
            <w:tcW w:w="884" w:type="dxa"/>
            <w:shd w:val="clear" w:color="auto" w:fill="FFFFFF"/>
            <w:vAlign w:val="center"/>
          </w:tcPr>
          <w:p>
            <w:pPr>
              <w:pStyle w:val="36"/>
              <w:spacing w:line="320" w:lineRule="exact"/>
              <w:ind w:firstLine="0"/>
              <w:jc w:val="center"/>
              <w:rPr>
                <w:rFonts w:ascii="仿宋_GB2312" w:eastAsia="仿宋_GB2312" w:hAnsiTheme="majorEastAsia" w:cstheme="majorEastAsia"/>
                <w:b/>
                <w:bCs/>
                <w:lang w:val="en-US" w:eastAsia="zh-CN"/>
              </w:rPr>
            </w:pPr>
            <w:r>
              <w:rPr>
                <w:rFonts w:hint="eastAsia" w:ascii="仿宋_GB2312" w:eastAsia="仿宋_GB2312" w:hAnsiTheme="majorEastAsia" w:cstheme="majorEastAsia"/>
                <w:b/>
                <w:bCs/>
                <w:lang w:val="en-US" w:eastAsia="zh-CN"/>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693" w:type="dxa"/>
            <w:shd w:val="clear" w:color="auto" w:fill="FFFFFF"/>
            <w:vAlign w:val="center"/>
          </w:tcPr>
          <w:p>
            <w:pPr>
              <w:pStyle w:val="36"/>
              <w:spacing w:line="320" w:lineRule="exact"/>
              <w:ind w:firstLine="280" w:firstLineChars="100"/>
              <w:jc w:val="left"/>
              <w:rPr>
                <w:rFonts w:ascii="仿宋_GB2312" w:eastAsia="仿宋_GB2312" w:hAnsiTheme="majorEastAsia" w:cstheme="majorEastAsia"/>
              </w:rPr>
            </w:pPr>
            <w:r>
              <w:rPr>
                <w:rFonts w:hint="eastAsia" w:ascii="仿宋_GB2312" w:eastAsia="仿宋_GB2312" w:hAnsiTheme="majorEastAsia" w:cstheme="majorEastAsia"/>
              </w:rPr>
              <w:t>1</w:t>
            </w:r>
          </w:p>
        </w:tc>
        <w:tc>
          <w:tcPr>
            <w:tcW w:w="3402" w:type="dxa"/>
            <w:shd w:val="clear" w:color="auto" w:fill="FFFFFF"/>
            <w:vAlign w:val="center"/>
          </w:tcPr>
          <w:p>
            <w:pPr>
              <w:pStyle w:val="36"/>
              <w:spacing w:line="320" w:lineRule="exact"/>
              <w:ind w:firstLine="0"/>
              <w:rPr>
                <w:rFonts w:ascii="仿宋_GB2312" w:eastAsia="仿宋_GB2312" w:hAnsiTheme="majorEastAsia" w:cstheme="majorEastAsia"/>
              </w:rPr>
            </w:pPr>
            <w:r>
              <w:rPr>
                <w:rFonts w:hint="eastAsia" w:ascii="仿宋_GB2312" w:eastAsia="仿宋_GB2312" w:hAnsiTheme="majorEastAsia" w:cstheme="majorEastAsia"/>
                <w:lang w:val="en-US" w:eastAsia="zh-CN"/>
              </w:rPr>
              <w:t>全国重点文物保护单位</w:t>
            </w:r>
          </w:p>
        </w:tc>
        <w:tc>
          <w:tcPr>
            <w:tcW w:w="915" w:type="dxa"/>
            <w:shd w:val="clear" w:color="auto" w:fill="FFFFFF"/>
            <w:vAlign w:val="center"/>
          </w:tcPr>
          <w:p>
            <w:pPr>
              <w:pStyle w:val="36"/>
              <w:spacing w:line="320" w:lineRule="exact"/>
              <w:ind w:firstLine="0"/>
              <w:jc w:val="center"/>
              <w:rPr>
                <w:rFonts w:ascii="仿宋_GB2312" w:eastAsia="仿宋_GB2312" w:hAnsiTheme="majorEastAsia" w:cstheme="majorEastAsia"/>
              </w:rPr>
            </w:pPr>
            <w:r>
              <w:rPr>
                <w:rFonts w:hint="eastAsia" w:ascii="仿宋_GB2312" w:eastAsia="仿宋_GB2312" w:hAnsiTheme="majorEastAsia" w:cstheme="majorEastAsia"/>
              </w:rPr>
              <w:t>个</w:t>
            </w:r>
          </w:p>
        </w:tc>
        <w:tc>
          <w:tcPr>
            <w:tcW w:w="1008" w:type="dxa"/>
            <w:shd w:val="clear" w:color="auto" w:fill="FFFFFF"/>
            <w:vAlign w:val="center"/>
          </w:tcPr>
          <w:p>
            <w:pPr>
              <w:pStyle w:val="36"/>
              <w:spacing w:line="320" w:lineRule="exact"/>
              <w:ind w:firstLine="0"/>
              <w:jc w:val="center"/>
              <w:rPr>
                <w:rFonts w:ascii="仿宋_GB2312" w:eastAsia="仿宋_GB2312" w:hAnsiTheme="majorEastAsia" w:cstheme="majorEastAsia"/>
              </w:rPr>
            </w:pPr>
            <w:r>
              <w:rPr>
                <w:rFonts w:hint="eastAsia" w:ascii="仿宋_GB2312" w:eastAsia="仿宋_GB2312" w:hAnsiTheme="majorEastAsia" w:cstheme="majorEastAsia"/>
              </w:rPr>
              <w:t>1</w:t>
            </w:r>
          </w:p>
        </w:tc>
        <w:tc>
          <w:tcPr>
            <w:tcW w:w="964"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2</w:t>
            </w:r>
          </w:p>
        </w:tc>
        <w:tc>
          <w:tcPr>
            <w:tcW w:w="1020"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3</w:t>
            </w:r>
          </w:p>
        </w:tc>
        <w:tc>
          <w:tcPr>
            <w:tcW w:w="884"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693" w:type="dxa"/>
            <w:shd w:val="clear" w:color="auto" w:fill="FFFFFF"/>
            <w:vAlign w:val="center"/>
          </w:tcPr>
          <w:p>
            <w:pPr>
              <w:pStyle w:val="36"/>
              <w:spacing w:line="320" w:lineRule="exact"/>
              <w:ind w:firstLine="280" w:firstLineChars="100"/>
              <w:jc w:val="left"/>
              <w:rPr>
                <w:rFonts w:ascii="仿宋_GB2312" w:eastAsia="仿宋_GB2312" w:hAnsiTheme="majorEastAsia" w:cstheme="majorEastAsia"/>
              </w:rPr>
            </w:pPr>
            <w:r>
              <w:rPr>
                <w:rFonts w:hint="eastAsia" w:ascii="仿宋_GB2312" w:eastAsia="仿宋_GB2312" w:hAnsiTheme="majorEastAsia" w:cstheme="majorEastAsia"/>
              </w:rPr>
              <w:t>2</w:t>
            </w:r>
          </w:p>
        </w:tc>
        <w:tc>
          <w:tcPr>
            <w:tcW w:w="3402" w:type="dxa"/>
            <w:shd w:val="clear" w:color="auto" w:fill="FFFFFF"/>
            <w:vAlign w:val="center"/>
          </w:tcPr>
          <w:p>
            <w:pPr>
              <w:pStyle w:val="36"/>
              <w:spacing w:line="320" w:lineRule="exact"/>
              <w:ind w:firstLine="0"/>
              <w:rPr>
                <w:rFonts w:ascii="仿宋_GB2312" w:eastAsia="仿宋_GB2312" w:hAnsiTheme="majorEastAsia" w:cstheme="majorEastAsia"/>
              </w:rPr>
            </w:pPr>
            <w:r>
              <w:rPr>
                <w:rFonts w:hint="eastAsia" w:ascii="仿宋_GB2312" w:eastAsia="仿宋_GB2312" w:hAnsiTheme="majorEastAsia" w:cstheme="majorEastAsia"/>
                <w:lang w:val="en-US" w:eastAsia="zh-CN"/>
              </w:rPr>
              <w:t>省级文物保护单位</w:t>
            </w:r>
          </w:p>
        </w:tc>
        <w:tc>
          <w:tcPr>
            <w:tcW w:w="915" w:type="dxa"/>
            <w:shd w:val="clear" w:color="auto" w:fill="FFFFFF"/>
            <w:vAlign w:val="center"/>
          </w:tcPr>
          <w:p>
            <w:pPr>
              <w:pStyle w:val="36"/>
              <w:spacing w:line="320" w:lineRule="exact"/>
              <w:ind w:firstLine="0"/>
              <w:jc w:val="center"/>
              <w:rPr>
                <w:rFonts w:ascii="仿宋_GB2312" w:eastAsia="仿宋_GB2312" w:hAnsiTheme="majorEastAsia" w:cstheme="majorEastAsia"/>
              </w:rPr>
            </w:pPr>
            <w:r>
              <w:rPr>
                <w:rFonts w:hint="eastAsia" w:ascii="仿宋_GB2312" w:eastAsia="仿宋_GB2312" w:hAnsiTheme="majorEastAsia" w:cstheme="majorEastAsia"/>
              </w:rPr>
              <w:t>个</w:t>
            </w:r>
          </w:p>
        </w:tc>
        <w:tc>
          <w:tcPr>
            <w:tcW w:w="1008"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7</w:t>
            </w:r>
          </w:p>
        </w:tc>
        <w:tc>
          <w:tcPr>
            <w:tcW w:w="964"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9</w:t>
            </w:r>
          </w:p>
        </w:tc>
        <w:tc>
          <w:tcPr>
            <w:tcW w:w="1020"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12</w:t>
            </w:r>
          </w:p>
        </w:tc>
        <w:tc>
          <w:tcPr>
            <w:tcW w:w="884"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693" w:type="dxa"/>
            <w:shd w:val="clear" w:color="auto" w:fill="FFFFFF"/>
            <w:vAlign w:val="center"/>
          </w:tcPr>
          <w:p>
            <w:pPr>
              <w:pStyle w:val="36"/>
              <w:spacing w:line="320" w:lineRule="exact"/>
              <w:ind w:firstLine="280" w:firstLineChars="100"/>
              <w:jc w:val="left"/>
              <w:rPr>
                <w:rFonts w:ascii="仿宋_GB2312" w:eastAsia="仿宋_GB2312" w:hAnsiTheme="majorEastAsia" w:cstheme="majorEastAsia"/>
              </w:rPr>
            </w:pPr>
            <w:r>
              <w:rPr>
                <w:rFonts w:hint="eastAsia" w:ascii="仿宋_GB2312" w:eastAsia="仿宋_GB2312" w:hAnsiTheme="majorEastAsia" w:cstheme="majorEastAsia"/>
              </w:rPr>
              <w:t>3</w:t>
            </w:r>
          </w:p>
        </w:tc>
        <w:tc>
          <w:tcPr>
            <w:tcW w:w="3402" w:type="dxa"/>
            <w:shd w:val="clear" w:color="auto" w:fill="FFFFFF"/>
            <w:vAlign w:val="center"/>
          </w:tcPr>
          <w:p>
            <w:pPr>
              <w:pStyle w:val="36"/>
              <w:spacing w:line="320" w:lineRule="exact"/>
              <w:ind w:firstLine="0"/>
              <w:rPr>
                <w:rFonts w:ascii="仿宋_GB2312" w:eastAsia="仿宋_GB2312" w:hAnsiTheme="majorEastAsia" w:cstheme="majorEastAsia"/>
              </w:rPr>
            </w:pPr>
            <w:r>
              <w:rPr>
                <w:rFonts w:hint="eastAsia" w:ascii="仿宋_GB2312" w:eastAsia="仿宋_GB2312" w:hAnsiTheme="majorEastAsia" w:cstheme="majorEastAsia"/>
                <w:lang w:val="en-US" w:eastAsia="zh-CN"/>
              </w:rPr>
              <w:t>市、县级文物保护单位</w:t>
            </w:r>
          </w:p>
        </w:tc>
        <w:tc>
          <w:tcPr>
            <w:tcW w:w="915" w:type="dxa"/>
            <w:shd w:val="clear" w:color="auto" w:fill="FFFFFF"/>
            <w:vAlign w:val="center"/>
          </w:tcPr>
          <w:p>
            <w:pPr>
              <w:pStyle w:val="36"/>
              <w:spacing w:line="320" w:lineRule="exact"/>
              <w:ind w:firstLine="0"/>
              <w:jc w:val="center"/>
              <w:rPr>
                <w:rFonts w:ascii="仿宋_GB2312" w:eastAsia="仿宋_GB2312" w:hAnsiTheme="majorEastAsia" w:cstheme="majorEastAsia"/>
              </w:rPr>
            </w:pPr>
            <w:r>
              <w:rPr>
                <w:rFonts w:hint="eastAsia" w:ascii="仿宋_GB2312" w:eastAsia="仿宋_GB2312" w:hAnsiTheme="majorEastAsia" w:cstheme="majorEastAsia"/>
              </w:rPr>
              <w:t>个</w:t>
            </w:r>
          </w:p>
        </w:tc>
        <w:tc>
          <w:tcPr>
            <w:tcW w:w="1008"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15</w:t>
            </w:r>
          </w:p>
        </w:tc>
        <w:tc>
          <w:tcPr>
            <w:tcW w:w="964"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20</w:t>
            </w:r>
          </w:p>
        </w:tc>
        <w:tc>
          <w:tcPr>
            <w:tcW w:w="1020"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25</w:t>
            </w:r>
          </w:p>
        </w:tc>
        <w:tc>
          <w:tcPr>
            <w:tcW w:w="884"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693" w:type="dxa"/>
            <w:shd w:val="clear" w:color="auto" w:fill="FFFFFF"/>
            <w:vAlign w:val="center"/>
          </w:tcPr>
          <w:p>
            <w:pPr>
              <w:pStyle w:val="36"/>
              <w:spacing w:line="320" w:lineRule="exact"/>
              <w:ind w:firstLine="280" w:firstLineChars="100"/>
              <w:jc w:val="left"/>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4</w:t>
            </w:r>
          </w:p>
        </w:tc>
        <w:tc>
          <w:tcPr>
            <w:tcW w:w="3402" w:type="dxa"/>
            <w:shd w:val="clear" w:color="auto" w:fill="FFFFFF"/>
            <w:vAlign w:val="center"/>
          </w:tcPr>
          <w:p>
            <w:pPr>
              <w:pStyle w:val="36"/>
              <w:spacing w:line="320" w:lineRule="exact"/>
              <w:ind w:firstLine="0"/>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省级</w:t>
            </w:r>
            <w:r>
              <w:rPr>
                <w:rFonts w:hint="eastAsia" w:ascii="仿宋_GB2312" w:eastAsia="仿宋_GB2312" w:hAnsiTheme="majorEastAsia" w:cstheme="majorEastAsia"/>
              </w:rPr>
              <w:t>爱国主义教育示范基地</w:t>
            </w:r>
          </w:p>
        </w:tc>
        <w:tc>
          <w:tcPr>
            <w:tcW w:w="915" w:type="dxa"/>
            <w:shd w:val="clear" w:color="auto" w:fill="FFFFFF"/>
            <w:vAlign w:val="center"/>
          </w:tcPr>
          <w:p>
            <w:pPr>
              <w:pStyle w:val="36"/>
              <w:spacing w:line="320" w:lineRule="exact"/>
              <w:ind w:firstLine="0"/>
              <w:jc w:val="center"/>
              <w:rPr>
                <w:rFonts w:ascii="仿宋_GB2312" w:eastAsia="仿宋_GB2312" w:hAnsiTheme="majorEastAsia" w:cstheme="majorEastAsia"/>
              </w:rPr>
            </w:pPr>
            <w:r>
              <w:rPr>
                <w:rFonts w:hint="eastAsia" w:ascii="仿宋_GB2312" w:eastAsia="仿宋_GB2312" w:hAnsiTheme="majorEastAsia" w:cstheme="majorEastAsia"/>
                <w:lang w:val="en-US" w:eastAsia="zh-CN"/>
              </w:rPr>
              <w:t>个</w:t>
            </w:r>
          </w:p>
        </w:tc>
        <w:tc>
          <w:tcPr>
            <w:tcW w:w="1008"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1</w:t>
            </w:r>
          </w:p>
        </w:tc>
        <w:tc>
          <w:tcPr>
            <w:tcW w:w="964"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2</w:t>
            </w:r>
          </w:p>
        </w:tc>
        <w:tc>
          <w:tcPr>
            <w:tcW w:w="1020"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3</w:t>
            </w:r>
          </w:p>
        </w:tc>
        <w:tc>
          <w:tcPr>
            <w:tcW w:w="884"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693" w:type="dxa"/>
            <w:shd w:val="clear" w:color="auto" w:fill="FFFFFF"/>
            <w:vAlign w:val="center"/>
          </w:tcPr>
          <w:p>
            <w:pPr>
              <w:pStyle w:val="36"/>
              <w:spacing w:line="320" w:lineRule="exact"/>
              <w:ind w:firstLine="280" w:firstLineChars="100"/>
              <w:jc w:val="left"/>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5</w:t>
            </w:r>
          </w:p>
        </w:tc>
        <w:tc>
          <w:tcPr>
            <w:tcW w:w="3402" w:type="dxa"/>
            <w:shd w:val="clear" w:color="auto" w:fill="FFFFFF"/>
            <w:vAlign w:val="center"/>
          </w:tcPr>
          <w:p>
            <w:pPr>
              <w:pStyle w:val="36"/>
              <w:spacing w:line="320" w:lineRule="exact"/>
              <w:ind w:firstLine="0"/>
              <w:rPr>
                <w:rFonts w:ascii="仿宋_GB2312" w:eastAsia="仿宋_GB2312" w:hAnsiTheme="majorEastAsia" w:cstheme="majorEastAsia"/>
                <w:lang w:eastAsia="zh-CN"/>
              </w:rPr>
            </w:pPr>
            <w:r>
              <w:rPr>
                <w:rFonts w:hint="eastAsia" w:ascii="仿宋_GB2312" w:eastAsia="仿宋_GB2312" w:hAnsiTheme="majorEastAsia" w:cstheme="majorEastAsia"/>
              </w:rPr>
              <w:t>省级</w:t>
            </w:r>
            <w:r>
              <w:rPr>
                <w:rFonts w:hint="eastAsia" w:ascii="仿宋_GB2312" w:eastAsia="仿宋_GB2312" w:hAnsiTheme="majorEastAsia" w:cstheme="majorEastAsia"/>
                <w:lang w:val="en-US" w:eastAsia="zh-CN"/>
              </w:rPr>
              <w:t>及</w:t>
            </w:r>
            <w:r>
              <w:rPr>
                <w:rFonts w:hint="eastAsia" w:ascii="仿宋_GB2312" w:eastAsia="仿宋_GB2312" w:hAnsiTheme="majorEastAsia" w:cstheme="majorEastAsia"/>
              </w:rPr>
              <w:t>以上</w:t>
            </w:r>
            <w:r>
              <w:rPr>
                <w:rFonts w:hint="eastAsia" w:ascii="仿宋_GB2312" w:eastAsia="仿宋_GB2312" w:hAnsiTheme="majorEastAsia" w:cstheme="majorEastAsia"/>
                <w:lang w:val="en-US" w:eastAsia="zh-CN"/>
              </w:rPr>
              <w:t>革命</w:t>
            </w:r>
            <w:r>
              <w:rPr>
                <w:rFonts w:hint="eastAsia" w:ascii="仿宋_GB2312" w:eastAsia="仿宋_GB2312" w:hAnsiTheme="majorEastAsia" w:cstheme="majorEastAsia"/>
              </w:rPr>
              <w:t>文物保护单位向公众开放</w:t>
            </w:r>
            <w:r>
              <w:rPr>
                <w:rFonts w:hint="eastAsia" w:ascii="仿宋_GB2312" w:eastAsia="仿宋_GB2312" w:hAnsiTheme="majorEastAsia" w:cstheme="majorEastAsia"/>
                <w:lang w:val="en-US" w:eastAsia="zh-CN"/>
              </w:rPr>
              <w:t>率</w:t>
            </w:r>
          </w:p>
        </w:tc>
        <w:tc>
          <w:tcPr>
            <w:tcW w:w="915"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w:t>
            </w:r>
          </w:p>
        </w:tc>
        <w:tc>
          <w:tcPr>
            <w:tcW w:w="1008"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80</w:t>
            </w:r>
          </w:p>
        </w:tc>
        <w:tc>
          <w:tcPr>
            <w:tcW w:w="964"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90</w:t>
            </w:r>
          </w:p>
        </w:tc>
        <w:tc>
          <w:tcPr>
            <w:tcW w:w="1020"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100</w:t>
            </w:r>
          </w:p>
        </w:tc>
        <w:tc>
          <w:tcPr>
            <w:tcW w:w="884"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693" w:type="dxa"/>
            <w:shd w:val="clear" w:color="auto" w:fill="FFFFFF"/>
            <w:vAlign w:val="center"/>
          </w:tcPr>
          <w:p>
            <w:pPr>
              <w:pStyle w:val="36"/>
              <w:spacing w:line="320" w:lineRule="exact"/>
              <w:ind w:firstLine="280" w:firstLineChars="100"/>
              <w:jc w:val="left"/>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6</w:t>
            </w:r>
          </w:p>
        </w:tc>
        <w:tc>
          <w:tcPr>
            <w:tcW w:w="3402" w:type="dxa"/>
            <w:shd w:val="clear" w:color="auto" w:fill="FFFFFF"/>
            <w:vAlign w:val="center"/>
          </w:tcPr>
          <w:p>
            <w:pPr>
              <w:pStyle w:val="36"/>
              <w:spacing w:line="320" w:lineRule="exact"/>
              <w:ind w:firstLine="0"/>
              <w:rPr>
                <w:rFonts w:ascii="仿宋_GB2312" w:eastAsia="仿宋_GB2312" w:hAnsiTheme="majorEastAsia" w:cstheme="majorEastAsia"/>
              </w:rPr>
            </w:pPr>
            <w:r>
              <w:rPr>
                <w:rFonts w:hint="eastAsia" w:ascii="仿宋_GB2312" w:eastAsia="仿宋_GB2312" w:hAnsiTheme="majorEastAsia" w:cstheme="majorEastAsia"/>
                <w:lang w:val="en-US" w:eastAsia="en-US" w:bidi="en-US"/>
              </w:rPr>
              <w:t>4A</w:t>
            </w:r>
            <w:r>
              <w:rPr>
                <w:rFonts w:hint="eastAsia" w:ascii="仿宋_GB2312" w:eastAsia="仿宋_GB2312" w:hAnsiTheme="majorEastAsia" w:cstheme="majorEastAsia"/>
              </w:rPr>
              <w:t>级红色旅游景区</w:t>
            </w:r>
          </w:p>
        </w:tc>
        <w:tc>
          <w:tcPr>
            <w:tcW w:w="915" w:type="dxa"/>
            <w:shd w:val="clear" w:color="auto" w:fill="FFFFFF"/>
            <w:vAlign w:val="center"/>
          </w:tcPr>
          <w:p>
            <w:pPr>
              <w:pStyle w:val="36"/>
              <w:spacing w:line="320" w:lineRule="exact"/>
              <w:ind w:firstLine="0"/>
              <w:jc w:val="center"/>
              <w:rPr>
                <w:rFonts w:ascii="仿宋_GB2312" w:eastAsia="仿宋_GB2312" w:hAnsiTheme="majorEastAsia" w:cstheme="majorEastAsia"/>
              </w:rPr>
            </w:pPr>
            <w:r>
              <w:rPr>
                <w:rFonts w:hint="eastAsia" w:ascii="仿宋_GB2312" w:eastAsia="仿宋_GB2312" w:hAnsiTheme="majorEastAsia" w:cstheme="majorEastAsia"/>
              </w:rPr>
              <w:t>个</w:t>
            </w:r>
          </w:p>
        </w:tc>
        <w:tc>
          <w:tcPr>
            <w:tcW w:w="1008"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1</w:t>
            </w:r>
          </w:p>
        </w:tc>
        <w:tc>
          <w:tcPr>
            <w:tcW w:w="964"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1</w:t>
            </w:r>
          </w:p>
        </w:tc>
        <w:tc>
          <w:tcPr>
            <w:tcW w:w="1020"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2</w:t>
            </w:r>
          </w:p>
        </w:tc>
        <w:tc>
          <w:tcPr>
            <w:tcW w:w="884"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693" w:type="dxa"/>
            <w:shd w:val="clear" w:color="auto" w:fill="FFFFFF"/>
            <w:vAlign w:val="center"/>
          </w:tcPr>
          <w:p>
            <w:pPr>
              <w:pStyle w:val="36"/>
              <w:spacing w:line="320" w:lineRule="exact"/>
              <w:ind w:firstLine="280" w:firstLineChars="100"/>
              <w:jc w:val="left"/>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7</w:t>
            </w:r>
          </w:p>
        </w:tc>
        <w:tc>
          <w:tcPr>
            <w:tcW w:w="3402" w:type="dxa"/>
            <w:shd w:val="clear" w:color="auto" w:fill="FFFFFF"/>
            <w:vAlign w:val="center"/>
          </w:tcPr>
          <w:p>
            <w:pPr>
              <w:pStyle w:val="36"/>
              <w:spacing w:line="320" w:lineRule="exact"/>
              <w:ind w:firstLine="0"/>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省级</w:t>
            </w:r>
            <w:r>
              <w:rPr>
                <w:rFonts w:hint="eastAsia" w:ascii="仿宋_GB2312" w:eastAsia="仿宋_GB2312" w:hAnsiTheme="majorEastAsia" w:cstheme="majorEastAsia"/>
              </w:rPr>
              <w:t>红色名村</w:t>
            </w:r>
          </w:p>
        </w:tc>
        <w:tc>
          <w:tcPr>
            <w:tcW w:w="915"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rPr>
              <w:t>个</w:t>
            </w:r>
          </w:p>
        </w:tc>
        <w:tc>
          <w:tcPr>
            <w:tcW w:w="1008"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4</w:t>
            </w:r>
          </w:p>
        </w:tc>
        <w:tc>
          <w:tcPr>
            <w:tcW w:w="964"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6</w:t>
            </w:r>
          </w:p>
        </w:tc>
        <w:tc>
          <w:tcPr>
            <w:tcW w:w="1020"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8</w:t>
            </w:r>
          </w:p>
        </w:tc>
        <w:tc>
          <w:tcPr>
            <w:tcW w:w="884"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693"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8</w:t>
            </w:r>
          </w:p>
        </w:tc>
        <w:tc>
          <w:tcPr>
            <w:tcW w:w="3402" w:type="dxa"/>
            <w:shd w:val="clear" w:color="auto" w:fill="FFFFFF"/>
            <w:vAlign w:val="center"/>
          </w:tcPr>
          <w:p>
            <w:pPr>
              <w:pStyle w:val="36"/>
              <w:spacing w:line="320" w:lineRule="exact"/>
              <w:ind w:firstLine="0"/>
              <w:rPr>
                <w:rFonts w:ascii="仿宋_GB2312" w:eastAsia="仿宋_GB2312" w:hAnsiTheme="majorEastAsia" w:cstheme="majorEastAsia"/>
              </w:rPr>
            </w:pPr>
            <w:r>
              <w:rPr>
                <w:rFonts w:hint="eastAsia" w:ascii="仿宋_GB2312" w:eastAsia="仿宋_GB2312" w:hAnsiTheme="majorEastAsia" w:cstheme="majorEastAsia"/>
              </w:rPr>
              <w:t>红色文艺作品数量</w:t>
            </w:r>
          </w:p>
        </w:tc>
        <w:tc>
          <w:tcPr>
            <w:tcW w:w="915" w:type="dxa"/>
            <w:shd w:val="clear" w:color="auto" w:fill="FFFFFF"/>
            <w:vAlign w:val="center"/>
          </w:tcPr>
          <w:p>
            <w:pPr>
              <w:pStyle w:val="36"/>
              <w:spacing w:line="320" w:lineRule="exact"/>
              <w:ind w:firstLine="0"/>
              <w:jc w:val="center"/>
              <w:rPr>
                <w:rFonts w:ascii="仿宋_GB2312" w:eastAsia="仿宋_GB2312" w:hAnsiTheme="majorEastAsia" w:cstheme="majorEastAsia"/>
              </w:rPr>
            </w:pPr>
            <w:r>
              <w:rPr>
                <w:rFonts w:hint="eastAsia" w:ascii="仿宋_GB2312" w:eastAsia="仿宋_GB2312" w:hAnsiTheme="majorEastAsia" w:cstheme="majorEastAsia"/>
              </w:rPr>
              <w:t>个</w:t>
            </w:r>
          </w:p>
        </w:tc>
        <w:tc>
          <w:tcPr>
            <w:tcW w:w="1008"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5</w:t>
            </w:r>
          </w:p>
        </w:tc>
        <w:tc>
          <w:tcPr>
            <w:tcW w:w="964"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10</w:t>
            </w:r>
          </w:p>
        </w:tc>
        <w:tc>
          <w:tcPr>
            <w:tcW w:w="1020"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15</w:t>
            </w:r>
          </w:p>
        </w:tc>
        <w:tc>
          <w:tcPr>
            <w:tcW w:w="884" w:type="dxa"/>
            <w:shd w:val="clear" w:color="auto" w:fill="FFFFFF"/>
            <w:vAlign w:val="center"/>
          </w:tcPr>
          <w:p>
            <w:pPr>
              <w:pStyle w:val="36"/>
              <w:spacing w:line="320" w:lineRule="exact"/>
              <w:ind w:firstLine="0"/>
              <w:jc w:val="center"/>
              <w:rPr>
                <w:rFonts w:ascii="仿宋_GB2312" w:eastAsia="仿宋_GB2312" w:hAnsiTheme="majorEastAsia" w:cstheme="majorEastAsia"/>
                <w:lang w:val="en-US" w:eastAsia="zh-CN"/>
              </w:rPr>
            </w:pPr>
            <w:r>
              <w:rPr>
                <w:rFonts w:hint="eastAsia" w:ascii="仿宋_GB2312" w:eastAsia="仿宋_GB2312" w:hAnsiTheme="majorEastAsia" w:cstheme="majorEastAsia"/>
                <w:lang w:val="en-US" w:eastAsia="zh-CN"/>
              </w:rPr>
              <w:t>预期性</w:t>
            </w:r>
          </w:p>
        </w:tc>
      </w:tr>
    </w:tbl>
    <w:p>
      <w:pPr>
        <w:pStyle w:val="14"/>
        <w:spacing w:before="0" w:beforeAutospacing="0" w:after="0" w:afterAutospacing="0"/>
        <w:ind w:firstLine="640" w:firstLineChars="200"/>
        <w:rPr>
          <w:rFonts w:ascii="黑体" w:hAnsi="黑体" w:eastAsia="黑体" w:cs="楷体"/>
          <w:sz w:val="32"/>
          <w:szCs w:val="32"/>
          <w:shd w:val="clear" w:color="auto" w:fill="FFFFFF"/>
        </w:rPr>
      </w:pPr>
    </w:p>
    <w:p>
      <w:pPr>
        <w:pStyle w:val="14"/>
        <w:spacing w:before="0" w:beforeAutospacing="0" w:after="0" w:afterAutospacing="0" w:line="600" w:lineRule="exact"/>
        <w:ind w:firstLine="640" w:firstLineChars="200"/>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五、发展布局</w:t>
      </w:r>
    </w:p>
    <w:p>
      <w:pPr>
        <w:spacing w:line="600" w:lineRule="exact"/>
        <w:ind w:firstLine="640" w:firstLineChars="200"/>
        <w:rPr>
          <w:rFonts w:hAnsi="宋体" w:cs="宋体"/>
          <w:szCs w:val="32"/>
        </w:rPr>
      </w:pPr>
      <w:r>
        <w:rPr>
          <w:rFonts w:hint="eastAsia" w:hAnsiTheme="majorEastAsia" w:cstheme="majorEastAsia"/>
          <w:szCs w:val="32"/>
        </w:rPr>
        <w:t>依据《铜鼓县国民经济和社会发展第十四个五年规划和二0三五年远景目标纲要》确立的“一主两副、两轴三区”的县域空间布局和构建“一心、两翼、三</w:t>
      </w:r>
      <w:r>
        <w:rPr>
          <w:rFonts w:hint="eastAsia" w:hAnsi="宋体" w:cs="宋体"/>
          <w:szCs w:val="32"/>
        </w:rPr>
        <w:t>圈”的旅游空间布局，综合全县革命文物资源类型特征、交通格局匹配关系及生态资源优势，构建“一轴两核三区多点”的革命文物保护利用空间格局。</w:t>
      </w:r>
    </w:p>
    <w:p>
      <w:pPr>
        <w:spacing w:line="600" w:lineRule="exact"/>
        <w:ind w:firstLine="643" w:firstLineChars="200"/>
        <w:rPr>
          <w:rFonts w:hAnsi="宋体" w:cs="宋体"/>
          <w:szCs w:val="32"/>
        </w:rPr>
      </w:pPr>
      <w:r>
        <w:rPr>
          <w:rFonts w:hint="eastAsia" w:ascii="楷体_GB2312" w:hAnsi="宋体" w:eastAsia="楷体_GB2312" w:cs="宋体"/>
          <w:b/>
          <w:bCs/>
          <w:szCs w:val="32"/>
          <w:shd w:val="clear" w:color="auto" w:fill="FFFFFF"/>
        </w:rPr>
        <w:t>——一轴牵引。</w:t>
      </w:r>
      <w:r>
        <w:rPr>
          <w:rFonts w:hint="eastAsia" w:hAnsi="宋体" w:cs="宋体"/>
          <w:szCs w:val="32"/>
        </w:rPr>
        <w:t>以贯通全县的杭长高速、贯穿县城中心区域的主干道为牵引轴，总体东北—西南走向，东北辐射修水，西南联通浏阳、万载，牵引联动打造湘赣边界秋收起义革命文物保护利用示范区。</w:t>
      </w:r>
    </w:p>
    <w:p>
      <w:pPr>
        <w:spacing w:line="600" w:lineRule="exact"/>
        <w:ind w:firstLine="643" w:firstLineChars="200"/>
        <w:rPr>
          <w:rFonts w:hAnsi="宋体" w:cs="宋体"/>
          <w:szCs w:val="32"/>
        </w:rPr>
      </w:pPr>
      <w:r>
        <w:rPr>
          <w:rFonts w:hint="eastAsia" w:ascii="楷体_GB2312" w:hAnsi="宋体" w:eastAsia="楷体_GB2312" w:cs="宋体"/>
          <w:b/>
          <w:bCs/>
          <w:szCs w:val="32"/>
          <w:shd w:val="clear" w:color="auto" w:fill="FFFFFF"/>
        </w:rPr>
        <w:t>——</w:t>
      </w:r>
      <w:r>
        <w:rPr>
          <w:rFonts w:hint="eastAsia" w:ascii="楷体_GB2312" w:hAnsi="宋体" w:eastAsia="楷体_GB2312" w:cs="宋体"/>
          <w:b/>
          <w:bCs/>
          <w:szCs w:val="32"/>
        </w:rPr>
        <w:t>两核支撑。</w:t>
      </w:r>
      <w:r>
        <w:rPr>
          <w:rFonts w:hint="eastAsia" w:hAnsi="宋体" w:cs="宋体"/>
          <w:szCs w:val="32"/>
        </w:rPr>
        <w:t>围绕湘赣边界秋收起义、湘鄂赣根据地两大革命历史主线，以永宁镇秋收起义文化公园、棋坪镇湘鄂赣根据地旧址为核心，全力打造</w:t>
      </w:r>
      <w:r>
        <w:rPr>
          <w:rFonts w:hint="eastAsia" w:hAnsi="宋体" w:cs="宋体"/>
          <w:spacing w:val="-9"/>
          <w:szCs w:val="32"/>
        </w:rPr>
        <w:t>湘鄂赣革命文物保护利</w:t>
      </w:r>
      <w:r>
        <w:rPr>
          <w:rFonts w:hint="eastAsia" w:hAnsi="宋体" w:cs="宋体"/>
          <w:spacing w:val="-4"/>
          <w:szCs w:val="32"/>
        </w:rPr>
        <w:t>用片区</w:t>
      </w:r>
      <w:r>
        <w:rPr>
          <w:rFonts w:hint="eastAsia" w:hAnsi="宋体" w:cs="宋体"/>
          <w:spacing w:val="-9"/>
          <w:szCs w:val="32"/>
        </w:rPr>
        <w:t>的先行示范区。</w:t>
      </w:r>
    </w:p>
    <w:p>
      <w:pPr>
        <w:spacing w:line="600" w:lineRule="exact"/>
        <w:ind w:firstLine="643" w:firstLineChars="200"/>
        <w:rPr>
          <w:rFonts w:hAnsi="宋体" w:cs="宋体"/>
          <w:szCs w:val="32"/>
        </w:rPr>
      </w:pPr>
      <w:r>
        <w:rPr>
          <w:rFonts w:hint="eastAsia" w:ascii="楷体_GB2312" w:hAnsi="宋体" w:eastAsia="楷体_GB2312" w:cs="宋体"/>
          <w:b/>
          <w:bCs/>
          <w:szCs w:val="32"/>
          <w:shd w:val="clear" w:color="auto" w:fill="FFFFFF"/>
        </w:rPr>
        <w:t>——</w:t>
      </w:r>
      <w:r>
        <w:rPr>
          <w:rFonts w:hint="eastAsia" w:ascii="楷体_GB2312" w:hAnsi="宋体" w:eastAsia="楷体_GB2312" w:cs="宋体"/>
          <w:b/>
          <w:bCs/>
          <w:szCs w:val="32"/>
        </w:rPr>
        <w:t>三区协同。</w:t>
      </w:r>
      <w:r>
        <w:rPr>
          <w:rFonts w:hint="eastAsia" w:hAnsi="宋体" w:cs="宋体"/>
          <w:szCs w:val="32"/>
        </w:rPr>
        <w:t>协同南部秋收起义片区、西部湘鄂赣根据地片区、东部三年游击战片区，打造纪念园、体验区，推动革命文物保护利用与城市更新、乡村振兴结合，创建江西省革命文物保护利用示范县。</w:t>
      </w:r>
    </w:p>
    <w:p>
      <w:pPr>
        <w:spacing w:line="600" w:lineRule="exact"/>
        <w:ind w:firstLine="643" w:firstLineChars="200"/>
        <w:rPr>
          <w:rFonts w:hAnsi="宋体" w:cs="宋体"/>
          <w:szCs w:val="32"/>
        </w:rPr>
      </w:pPr>
      <w:r>
        <w:rPr>
          <w:rFonts w:hint="eastAsia" w:ascii="楷体_GB2312" w:hAnsi="宋体" w:eastAsia="楷体_GB2312" w:cs="宋体"/>
          <w:b/>
          <w:bCs/>
          <w:szCs w:val="32"/>
          <w:shd w:val="clear" w:color="auto" w:fill="FFFFFF"/>
        </w:rPr>
        <w:t>——</w:t>
      </w:r>
      <w:r>
        <w:rPr>
          <w:rFonts w:hint="eastAsia" w:ascii="楷体_GB2312" w:hAnsi="宋体" w:eastAsia="楷体_GB2312" w:cs="宋体"/>
          <w:b/>
          <w:bCs/>
          <w:szCs w:val="32"/>
        </w:rPr>
        <w:t>多点联动。</w:t>
      </w:r>
      <w:r>
        <w:rPr>
          <w:rFonts w:hint="eastAsia" w:hAnsi="宋体" w:cs="宋体"/>
          <w:szCs w:val="32"/>
        </w:rPr>
        <w:t>发挥全县六镇三乡革命旧址分布广泛的优势，以“毛泽东脱险地旧址”“工农革命军第一军第一师第三团回师铜鼓旧址”“秋收起义部队新兵训练处旧址”及“湘鄂赣省军区司令部旧址”四个示范点为重点，联动各乡镇革命文物资源，形成革命文物保护利用全域发展的格局。</w:t>
      </w:r>
    </w:p>
    <w:p/>
    <w:p>
      <w:pPr>
        <w:pStyle w:val="2"/>
        <w:rPr>
          <w:rFonts w:hint="eastAsia" w:eastAsia="仿宋_GB2312"/>
          <w:lang w:eastAsia="zh-CN"/>
        </w:rPr>
      </w:pPr>
      <w:r>
        <w:rPr>
          <w:rFonts w:hint="eastAsia" w:eastAsia="仿宋_GB2312"/>
          <w:lang w:eastAsia="zh-CN"/>
        </w:rPr>
        <w:drawing>
          <wp:inline distT="0" distB="0" distL="114300" distR="114300">
            <wp:extent cx="5602605" cy="3959860"/>
            <wp:effectExtent l="0" t="0" r="17145" b="2540"/>
            <wp:docPr id="1" name="图片 1" descr="b87d1764c983da4ff1156cc89c4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87d1764c983da4ff1156cc89c4e013"/>
                    <pic:cNvPicPr>
                      <a:picLocks noChangeAspect="1"/>
                    </pic:cNvPicPr>
                  </pic:nvPicPr>
                  <pic:blipFill>
                    <a:blip r:embed="rId7"/>
                    <a:stretch>
                      <a:fillRect/>
                    </a:stretch>
                  </pic:blipFill>
                  <pic:spPr>
                    <a:xfrm>
                      <a:off x="0" y="0"/>
                      <a:ext cx="5602605" cy="3959860"/>
                    </a:xfrm>
                    <a:prstGeom prst="rect">
                      <a:avLst/>
                    </a:prstGeom>
                  </pic:spPr>
                </pic:pic>
              </a:graphicData>
            </a:graphic>
          </wp:inline>
        </w:drawing>
      </w:r>
    </w:p>
    <w:p>
      <w:pPr>
        <w:jc w:val="left"/>
        <w:rPr>
          <w:rStyle w:val="21"/>
          <w:rFonts w:ascii="黑体" w:hAnsi="黑体" w:eastAsia="黑体" w:cs="黑体"/>
          <w:kern w:val="0"/>
          <w:szCs w:val="32"/>
          <w:shd w:val="clear" w:color="auto" w:fill="FFFFFF"/>
        </w:rPr>
      </w:pPr>
      <w:r>
        <w:rPr>
          <w:rStyle w:val="21"/>
          <w:rFonts w:ascii="黑体" w:hAnsi="黑体" w:eastAsia="黑体" w:cs="黑体"/>
          <w:szCs w:val="32"/>
          <w:shd w:val="clear" w:color="auto" w:fill="FFFFFF"/>
        </w:rPr>
        <w:br w:type="page"/>
      </w:r>
    </w:p>
    <w:p>
      <w:pPr>
        <w:pStyle w:val="14"/>
        <w:spacing w:before="0" w:beforeAutospacing="0" w:after="0" w:afterAutospacing="0" w:line="600" w:lineRule="exact"/>
        <w:jc w:val="center"/>
        <w:rPr>
          <w:rFonts w:ascii="黑体" w:hAnsi="黑体" w:eastAsia="黑体" w:cs="黑体"/>
          <w:sz w:val="32"/>
          <w:szCs w:val="32"/>
          <w:shd w:val="clear" w:color="auto" w:fill="FFFFFF"/>
        </w:rPr>
      </w:pPr>
      <w:r>
        <w:rPr>
          <w:rStyle w:val="21"/>
          <w:rFonts w:hint="eastAsia" w:ascii="黑体" w:hAnsi="黑体" w:eastAsia="黑体" w:cs="黑体"/>
          <w:sz w:val="32"/>
          <w:szCs w:val="32"/>
          <w:shd w:val="clear" w:color="auto" w:fill="FFFFFF"/>
        </w:rPr>
        <w:t>第四章    主 要 任 务</w:t>
      </w:r>
    </w:p>
    <w:p>
      <w:pPr>
        <w:spacing w:line="600" w:lineRule="exact"/>
        <w:rPr>
          <w:rFonts w:asciiTheme="majorEastAsia" w:hAnsiTheme="majorEastAsia" w:eastAsiaTheme="majorEastAsia" w:cstheme="majorEastAsia"/>
          <w:b/>
          <w:bCs/>
          <w:szCs w:val="32"/>
        </w:rPr>
      </w:pPr>
    </w:p>
    <w:p>
      <w:pPr>
        <w:pStyle w:val="14"/>
        <w:spacing w:before="0" w:beforeAutospacing="0" w:after="0" w:afterAutospacing="0" w:line="600" w:lineRule="exact"/>
        <w:ind w:firstLine="640" w:firstLineChars="200"/>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一、整体连片保护工程</w:t>
      </w:r>
    </w:p>
    <w:p>
      <w:pPr>
        <w:spacing w:line="600" w:lineRule="exact"/>
        <w:ind w:firstLine="643" w:firstLineChars="200"/>
        <w:rPr>
          <w:rFonts w:hAnsiTheme="majorEastAsia" w:cstheme="majorEastAsia"/>
          <w:szCs w:val="32"/>
        </w:rPr>
      </w:pPr>
      <w:r>
        <w:rPr>
          <w:rFonts w:hint="eastAsia" w:ascii="楷体_GB2312" w:eastAsia="楷体_GB2312" w:hAnsiTheme="majorEastAsia" w:cstheme="majorEastAsia"/>
          <w:b/>
          <w:bCs/>
          <w:szCs w:val="32"/>
        </w:rPr>
        <w:t>（一）持续开展革命文物资源普查。</w:t>
      </w:r>
      <w:r>
        <w:rPr>
          <w:rFonts w:hint="eastAsia" w:hAnsiTheme="majorEastAsia" w:cstheme="majorEastAsia"/>
          <w:szCs w:val="32"/>
        </w:rPr>
        <w:t>在全省第一批、第二批不可移动革命文物名录数据基础上，持续深入开展革命文物复核、革命遗址、革命旧址调查认定工作，对县域内的革命文物进行详细排查，全面梳理秋收起义、湘鄂赣省苏维埃政府时期以及社会主义革命、建设、改革时期的遗址遗迹、纪念设施及文物藏品，摸清资源底数。</w:t>
      </w:r>
    </w:p>
    <w:p>
      <w:pPr>
        <w:spacing w:line="600" w:lineRule="exact"/>
        <w:ind w:firstLine="643" w:firstLineChars="200"/>
        <w:rPr>
          <w:rFonts w:hAnsi="宋体" w:cs="宋体"/>
          <w:b/>
          <w:bCs/>
          <w:kern w:val="0"/>
          <w:szCs w:val="32"/>
          <w:lang w:bidi="ar"/>
        </w:rPr>
      </w:pPr>
      <w:r>
        <w:rPr>
          <w:rFonts w:hint="eastAsia" w:ascii="楷体_GB2312" w:eastAsia="楷体_GB2312" w:hAnsiTheme="majorEastAsia" w:cstheme="majorEastAsia"/>
          <w:b/>
          <w:bCs/>
          <w:szCs w:val="32"/>
        </w:rPr>
        <w:t>（二）推进整体保护。</w:t>
      </w:r>
      <w:r>
        <w:rPr>
          <w:rFonts w:hint="eastAsia" w:hAnsiTheme="minorEastAsia" w:cstheme="minorEastAsia"/>
          <w:kern w:val="0"/>
          <w:szCs w:val="32"/>
          <w:lang w:bidi="ar"/>
        </w:rPr>
        <w:t>对存在险情</w:t>
      </w:r>
      <w:r>
        <w:rPr>
          <w:rFonts w:hint="eastAsia" w:hAnsi="宋体" w:cs="宋体"/>
          <w:kern w:val="0"/>
          <w:szCs w:val="32"/>
          <w:lang w:bidi="ar"/>
        </w:rPr>
        <w:t>的各级文物保护单位及时开展抢救性保护，对</w:t>
      </w:r>
      <w:r>
        <w:rPr>
          <w:rFonts w:hint="eastAsia" w:hAnsi="宋体" w:cs="宋体"/>
          <w:szCs w:val="32"/>
        </w:rPr>
        <w:t>毛泽东脱险地旧址、工农革命军第一军第一师第三团回师铜鼓旧址、秋收起义部队新兵训练处旧址、中国工农革命军第一师三团一营营部旧址及部分湘鄂赣革命根据地旧址</w:t>
      </w:r>
      <w:r>
        <w:rPr>
          <w:rFonts w:hint="eastAsia" w:hAnsi="宋体" w:cs="宋体"/>
          <w:kern w:val="0"/>
          <w:szCs w:val="32"/>
          <w:lang w:bidi="ar"/>
        </w:rPr>
        <w:t>等</w:t>
      </w:r>
      <w:r>
        <w:rPr>
          <w:rFonts w:hint="eastAsia" w:hAnsiTheme="minorEastAsia" w:cstheme="minorEastAsia"/>
          <w:kern w:val="0"/>
          <w:szCs w:val="32"/>
          <w:lang w:bidi="ar"/>
        </w:rPr>
        <w:t>实施重点保护修缮工程。同时</w:t>
      </w:r>
      <w:r>
        <w:rPr>
          <w:rFonts w:hint="eastAsia" w:hAnsiTheme="majorEastAsia" w:cstheme="majorEastAsia"/>
          <w:szCs w:val="32"/>
        </w:rPr>
        <w:t>采用加固、灌浆、补配、显色、封护等技术操作分阶段持续对全县红色标语抢救性保护维修。</w:t>
      </w:r>
    </w:p>
    <w:p>
      <w:pPr>
        <w:spacing w:line="600" w:lineRule="exact"/>
        <w:ind w:firstLine="643" w:firstLineChars="200"/>
        <w:rPr>
          <w:rFonts w:hAnsi="宋体" w:cs="宋体"/>
          <w:b/>
          <w:bCs/>
          <w:kern w:val="0"/>
          <w:szCs w:val="32"/>
          <w:lang w:bidi="ar"/>
        </w:rPr>
      </w:pPr>
      <w:r>
        <w:rPr>
          <w:rFonts w:hint="eastAsia" w:ascii="楷体_GB2312" w:eastAsia="楷体_GB2312" w:hAnsiTheme="majorEastAsia" w:cstheme="majorEastAsia"/>
          <w:b/>
          <w:bCs/>
          <w:szCs w:val="32"/>
        </w:rPr>
        <w:t>（三）开展集中连片保护。</w:t>
      </w:r>
      <w:r>
        <w:rPr>
          <w:rFonts w:hint="eastAsia" w:hAnsi="宋体" w:cs="宋体"/>
          <w:kern w:val="0"/>
          <w:szCs w:val="32"/>
          <w:lang w:bidi="ar"/>
        </w:rPr>
        <w:t>立足铜鼓革命文物集中连片、重点突出，各乡镇全域分布、区划完整的特点，推进革命文物整体保护利用，对排埠镇、永宁镇、温泉镇围绕秋收起义革命主题，棋坪镇、高桥乡围绕湘鄂赣根据地主题，三都镇围绕大革命时期中共铜鼓县党支部、中共铜鼓县委活动主题，确定革命文物资源和项目布局，开展集中连片保护。</w:t>
      </w:r>
    </w:p>
    <w:p>
      <w:pPr>
        <w:spacing w:line="600" w:lineRule="exact"/>
        <w:ind w:firstLine="643" w:firstLineChars="200"/>
        <w:rPr>
          <w:rFonts w:hAnsiTheme="majorEastAsia" w:cstheme="majorEastAsia"/>
          <w:szCs w:val="32"/>
        </w:rPr>
      </w:pPr>
      <w:r>
        <w:rPr>
          <w:rFonts w:hint="eastAsia" w:ascii="楷体_GB2312" w:eastAsia="楷体_GB2312" w:hAnsiTheme="majorEastAsia" w:cstheme="majorEastAsia"/>
          <w:b/>
          <w:bCs/>
          <w:szCs w:val="32"/>
        </w:rPr>
        <w:t>（四）开展革命文物定级、提级工作。</w:t>
      </w:r>
      <w:r>
        <w:rPr>
          <w:rFonts w:hint="eastAsia" w:hAnsiTheme="majorEastAsia" w:cstheme="majorEastAsia"/>
          <w:szCs w:val="32"/>
        </w:rPr>
        <w:t>评定一批未核定公布的革命文物遗存为县级文物保护单位，建立革命文物定期排查制度，对于价值较高的积极推荐申报省级或全国重点文物保护单位。加强对革命文物和革命文献档案史料、口述资料的调查征集工作，及时对馆藏革命文物进行认定、定级、建账和建档。</w:t>
      </w:r>
    </w:p>
    <w:p>
      <w:pPr>
        <w:spacing w:line="600" w:lineRule="exact"/>
        <w:ind w:firstLine="643" w:firstLineChars="200"/>
        <w:rPr>
          <w:rFonts w:hAnsiTheme="majorEastAsia" w:cstheme="majorEastAsia"/>
          <w:szCs w:val="32"/>
        </w:rPr>
      </w:pPr>
      <w:r>
        <w:rPr>
          <w:rFonts w:hint="eastAsia" w:ascii="楷体_GB2312" w:eastAsia="楷体_GB2312" w:hAnsiTheme="majorEastAsia" w:cstheme="majorEastAsia"/>
          <w:b/>
          <w:bCs/>
          <w:szCs w:val="32"/>
        </w:rPr>
        <w:t>（五）完善革命文物保护单位“四有”工作。</w:t>
      </w:r>
      <w:r>
        <w:rPr>
          <w:rFonts w:hint="eastAsia" w:hAnsiTheme="majorEastAsia" w:cstheme="majorEastAsia"/>
          <w:spacing w:val="-4"/>
          <w:szCs w:val="32"/>
        </w:rPr>
        <w:t>立足</w:t>
      </w:r>
      <w:r>
        <w:rPr>
          <w:rFonts w:hint="eastAsia" w:hAnsiTheme="majorEastAsia" w:cstheme="majorEastAsia"/>
          <w:spacing w:val="-17"/>
          <w:szCs w:val="32"/>
        </w:rPr>
        <w:t>整体保护利用</w:t>
      </w:r>
      <w:r>
        <w:rPr>
          <w:rFonts w:hint="eastAsia" w:hAnsiTheme="majorEastAsia" w:cstheme="majorEastAsia"/>
          <w:spacing w:val="-16"/>
          <w:szCs w:val="32"/>
        </w:rPr>
        <w:t>，</w:t>
      </w:r>
      <w:r>
        <w:rPr>
          <w:rFonts w:hint="eastAsia" w:hAnsiTheme="majorEastAsia" w:cstheme="majorEastAsia"/>
          <w:spacing w:val="-4"/>
          <w:szCs w:val="32"/>
        </w:rPr>
        <w:t>依法划定、调整和公布文物保护</w:t>
      </w:r>
      <w:r>
        <w:rPr>
          <w:rFonts w:hint="eastAsia" w:hAnsiTheme="majorEastAsia" w:cstheme="majorEastAsia"/>
          <w:spacing w:val="-3"/>
          <w:szCs w:val="32"/>
        </w:rPr>
        <w:t>单</w:t>
      </w:r>
      <w:r>
        <w:rPr>
          <w:rFonts w:hint="eastAsia" w:hAnsiTheme="majorEastAsia" w:cstheme="majorEastAsia"/>
          <w:szCs w:val="32"/>
        </w:rPr>
        <w:t>位</w:t>
      </w:r>
      <w:r>
        <w:rPr>
          <w:rFonts w:hint="eastAsia" w:hAnsiTheme="majorEastAsia" w:cstheme="majorEastAsia"/>
          <w:spacing w:val="-16"/>
          <w:szCs w:val="32"/>
        </w:rPr>
        <w:t>的保</w:t>
      </w:r>
      <w:r>
        <w:rPr>
          <w:rFonts w:hint="eastAsia" w:hAnsiTheme="majorEastAsia" w:cstheme="majorEastAsia"/>
          <w:spacing w:val="-15"/>
          <w:szCs w:val="32"/>
        </w:rPr>
        <w:t>护</w:t>
      </w:r>
      <w:r>
        <w:rPr>
          <w:rFonts w:hint="eastAsia" w:hAnsiTheme="majorEastAsia" w:cstheme="majorEastAsia"/>
          <w:spacing w:val="-8"/>
          <w:szCs w:val="32"/>
        </w:rPr>
        <w:t>范围及建设控制地带，推进整体纳入</w:t>
      </w:r>
      <w:r>
        <w:rPr>
          <w:rFonts w:hint="eastAsia" w:hAnsi="宋体" w:cs="宋体"/>
          <w:szCs w:val="32"/>
        </w:rPr>
        <w:t>铜鼓县国土空间规划，对革命文物保护利用片区未来的红色旅游景区建</w:t>
      </w:r>
      <w:r>
        <w:rPr>
          <w:rFonts w:hint="eastAsia" w:hAnsiTheme="minorEastAsia" w:cstheme="minorEastAsia"/>
          <w:szCs w:val="32"/>
        </w:rPr>
        <w:t>设及村落发展提出有效的控制引导。按标准规范树立保护标志说明牌，及时更新、建立记录档案，落实保护机构、人员。</w:t>
      </w:r>
    </w:p>
    <w:p>
      <w:pPr>
        <w:spacing w:line="600" w:lineRule="exact"/>
        <w:ind w:firstLine="643" w:firstLineChars="200"/>
        <w:rPr>
          <w:rFonts w:hAnsi="宋体" w:cs="宋体"/>
          <w:kern w:val="0"/>
          <w:szCs w:val="32"/>
          <w:lang w:bidi="ar"/>
        </w:rPr>
      </w:pPr>
      <w:r>
        <w:rPr>
          <w:rFonts w:hint="eastAsia" w:ascii="楷体_GB2312" w:eastAsia="楷体_GB2312" w:hAnsiTheme="majorEastAsia" w:cstheme="majorEastAsia"/>
          <w:b/>
          <w:bCs/>
          <w:szCs w:val="32"/>
        </w:rPr>
        <w:t>（六）动员社会力量参与革命文物保护。</w:t>
      </w:r>
      <w:r>
        <w:rPr>
          <w:rFonts w:hint="eastAsia" w:hAnsi="宋体" w:cs="宋体"/>
          <w:szCs w:val="32"/>
        </w:rPr>
        <w:t>充分发挥政府主导作用和部门联动优势，</w:t>
      </w:r>
      <w:r>
        <w:rPr>
          <w:rFonts w:hint="eastAsia" w:hAnsi="宋体" w:cs="宋体"/>
          <w:kern w:val="0"/>
          <w:szCs w:val="32"/>
          <w:lang w:bidi="ar"/>
        </w:rPr>
        <w:t>组建铜鼓革命文物保护志愿者队伍，号召社会各界通过不可移动文物认养和出资修缮、文物捐赠、公共服务、文创产品研发、志愿者服务、文物看护巡查等多种渠道广泛参与革命文物保护。</w:t>
      </w:r>
    </w:p>
    <w:p>
      <w:pPr>
        <w:pStyle w:val="2"/>
        <w:rPr>
          <w:lang w:bidi="ar"/>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tcPr>
          <w:p>
            <w:pPr>
              <w:pStyle w:val="2"/>
              <w:spacing w:after="0" w:line="600" w:lineRule="exact"/>
              <w:jc w:val="center"/>
              <w:rPr>
                <w:b/>
                <w:lang w:bidi="ar"/>
              </w:rPr>
            </w:pPr>
            <w:r>
              <w:rPr>
                <w:rStyle w:val="21"/>
                <w:rFonts w:hint="eastAsia" w:ascii="黑体" w:hAnsi="黑体" w:eastAsia="黑体" w:cs="黑体"/>
                <w:b w:val="0"/>
                <w:szCs w:val="32"/>
              </w:rPr>
              <w:t>专栏1    革命文物保护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tcPr>
          <w:p>
            <w:pPr>
              <w:spacing w:line="600" w:lineRule="exact"/>
              <w:ind w:firstLine="643" w:firstLineChars="200"/>
              <w:rPr>
                <w:rFonts w:hAnsi="宋体" w:cs="宋体"/>
                <w:kern w:val="0"/>
                <w:szCs w:val="32"/>
                <w:lang w:bidi="ar"/>
              </w:rPr>
            </w:pPr>
            <w:r>
              <w:rPr>
                <w:rFonts w:hint="eastAsia" w:hAnsi="宋体" w:cs="宋体"/>
                <w:b/>
                <w:bCs/>
                <w:kern w:val="0"/>
                <w:szCs w:val="32"/>
                <w:lang w:bidi="ar"/>
              </w:rPr>
              <w:t>建立革命文物资源调查监测制度。</w:t>
            </w:r>
            <w:r>
              <w:rPr>
                <w:rFonts w:hint="eastAsia" w:hAnsi="宋体" w:cs="宋体"/>
                <w:kern w:val="0"/>
                <w:szCs w:val="32"/>
                <w:lang w:bidi="ar"/>
              </w:rPr>
              <w:t xml:space="preserve">对铜鼓革命文物资源及保护情况进行调查、监测，完善文物核查、申报、鉴定、登记、定级、公布程序，建立和完善革命文物资源资产管理制度，形成革命文物资源资产管理体系。 </w:t>
            </w:r>
          </w:p>
          <w:p>
            <w:pPr>
              <w:spacing w:line="600" w:lineRule="exact"/>
              <w:ind w:firstLine="643" w:firstLineChars="200"/>
              <w:rPr>
                <w:rFonts w:hAnsi="宋体" w:cs="宋体"/>
                <w:szCs w:val="32"/>
              </w:rPr>
            </w:pPr>
            <w:r>
              <w:rPr>
                <w:rStyle w:val="21"/>
                <w:rFonts w:hint="eastAsia" w:ascii="仿宋_GB2312" w:hAnsi="宋体" w:eastAsia="仿宋_GB2312"/>
                <w:szCs w:val="32"/>
              </w:rPr>
              <w:t>低级别革命文物保护工程。</w:t>
            </w:r>
            <w:r>
              <w:rPr>
                <w:rFonts w:hint="eastAsia" w:hAnsi="宋体" w:cs="宋体"/>
                <w:szCs w:val="32"/>
              </w:rPr>
              <w:t>按照抢救性和预防性保护并重的原则，</w:t>
            </w:r>
            <w:r>
              <w:rPr>
                <w:rFonts w:hint="eastAsia" w:hAnsi="宋体" w:cs="宋体"/>
                <w:szCs w:val="32"/>
                <w:shd w:val="clear" w:color="auto" w:fill="FFFFFF"/>
              </w:rPr>
              <w:t>及时把具有历史、科学、艺术、教育价值的</w:t>
            </w:r>
            <w:r>
              <w:rPr>
                <w:rFonts w:hint="eastAsia" w:hAnsi="宋体" w:cs="宋体"/>
                <w:szCs w:val="32"/>
              </w:rPr>
              <w:t>县级以下尚未核定的文物点</w:t>
            </w:r>
            <w:r>
              <w:rPr>
                <w:rFonts w:hint="eastAsia" w:hAnsi="宋体" w:cs="宋体"/>
                <w:szCs w:val="32"/>
                <w:shd w:val="clear" w:color="auto" w:fill="FFFFFF"/>
              </w:rPr>
              <w:t>核定公布为文物保护单位，</w:t>
            </w:r>
            <w:r>
              <w:rPr>
                <w:rFonts w:hint="eastAsia" w:hAnsi="宋体" w:cs="宋体"/>
                <w:szCs w:val="32"/>
              </w:rPr>
              <w:t>落实保护措施，做好革命文物保护修缮项目储备和安全防范设施建设工作，有效化解低级别革命文物“用不上、修不起、碰不得”的处境，让低级别革命文物焕发新生、创造价值、赋能发展。</w:t>
            </w:r>
          </w:p>
          <w:p>
            <w:pPr>
              <w:spacing w:line="600" w:lineRule="exact"/>
              <w:ind w:firstLine="643" w:firstLineChars="200"/>
              <w:rPr>
                <w:rFonts w:hAnsi="宋体" w:cs="宋体"/>
                <w:szCs w:val="32"/>
              </w:rPr>
            </w:pPr>
            <w:r>
              <w:rPr>
                <w:rStyle w:val="21"/>
                <w:rFonts w:hint="eastAsia" w:ascii="仿宋_GB2312" w:hAnsi="宋体" w:eastAsia="仿宋_GB2312"/>
                <w:szCs w:val="32"/>
              </w:rPr>
              <w:t>馆藏革命文物保护工程。</w:t>
            </w:r>
            <w:r>
              <w:rPr>
                <w:rFonts w:hint="eastAsia" w:hAnsi="宋体" w:cs="宋体"/>
                <w:szCs w:val="32"/>
              </w:rPr>
              <w:t>切实加大博物馆、纪念馆的馆藏革命文物预防性保护力度，推进其保存环境达标建设，重点加强材质脆弱、病害严重的馆藏革命文物本体保护修复。</w:t>
            </w:r>
          </w:p>
          <w:p>
            <w:pPr>
              <w:spacing w:line="600" w:lineRule="exact"/>
              <w:ind w:firstLine="643" w:firstLineChars="200"/>
              <w:rPr>
                <w:lang w:bidi="ar"/>
              </w:rPr>
            </w:pPr>
            <w:r>
              <w:rPr>
                <w:rFonts w:hint="eastAsia" w:hAnsiTheme="minorEastAsia" w:cstheme="minorEastAsia"/>
                <w:b/>
                <w:bCs/>
                <w:szCs w:val="32"/>
              </w:rPr>
              <w:t>加强革命文物周边环境整治。</w:t>
            </w:r>
            <w:r>
              <w:rPr>
                <w:rFonts w:hint="eastAsia" w:hAnsiTheme="majorEastAsia" w:cstheme="majorEastAsia"/>
                <w:szCs w:val="32"/>
              </w:rPr>
              <w:t>依据文物本体与载体环境整体保护的原则，注重保护与恢复秋收起义、湘鄂赣根据地等革命历史环境与氛围，对文保单位周边环境进行综合整治提升，保护革命旧址及环境的真实性、完整性，改善社区环境品质，增强革命主题的宣传教育效果。</w:t>
            </w:r>
          </w:p>
        </w:tc>
      </w:tr>
    </w:tbl>
    <w:p>
      <w:pPr>
        <w:pStyle w:val="5"/>
        <w:ind w:left="640"/>
      </w:pPr>
    </w:p>
    <w:p>
      <w:pPr>
        <w:pStyle w:val="14"/>
        <w:spacing w:beforeAutospacing="0" w:afterAutospacing="0" w:line="600" w:lineRule="exact"/>
        <w:ind w:firstLine="640" w:firstLineChars="200"/>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二、科技保护赋能工程</w:t>
      </w:r>
    </w:p>
    <w:p>
      <w:pPr>
        <w:spacing w:line="600" w:lineRule="exact"/>
        <w:ind w:firstLine="643" w:firstLineChars="200"/>
        <w:rPr>
          <w:rFonts w:hAnsiTheme="majorEastAsia" w:cstheme="majorEastAsia"/>
          <w:b/>
          <w:bCs/>
          <w:kern w:val="0"/>
          <w:szCs w:val="32"/>
          <w:shd w:val="clear" w:color="auto" w:fill="FFFFFF"/>
          <w:lang w:bidi="ar"/>
        </w:rPr>
      </w:pPr>
      <w:r>
        <w:rPr>
          <w:rFonts w:hint="eastAsia" w:ascii="楷体_GB2312" w:eastAsia="楷体_GB2312" w:hAnsiTheme="majorEastAsia" w:cstheme="majorEastAsia"/>
          <w:b/>
          <w:bCs/>
          <w:szCs w:val="32"/>
        </w:rPr>
        <w:t>（一）搭建数字保护平台。</w:t>
      </w:r>
      <w:r>
        <w:rPr>
          <w:rFonts w:hint="eastAsia" w:hAnsiTheme="majorEastAsia" w:cstheme="majorEastAsia"/>
          <w:kern w:val="0"/>
          <w:szCs w:val="32"/>
          <w:lang w:bidi="ar"/>
        </w:rPr>
        <w:t>开展县级及以上不可移动革命文物数字化勘察、数字化信息保全等工作，</w:t>
      </w:r>
      <w:r>
        <w:rPr>
          <w:rFonts w:hint="eastAsia" w:hAnsiTheme="minorEastAsia" w:cstheme="minorEastAsia"/>
          <w:kern w:val="0"/>
          <w:szCs w:val="32"/>
          <w:lang w:bidi="ar"/>
        </w:rPr>
        <w:t>建立不可移动革命文物数字化档案；</w:t>
      </w:r>
      <w:r>
        <w:rPr>
          <w:rFonts w:hint="eastAsia" w:hAnsiTheme="majorEastAsia" w:cstheme="majorEastAsia"/>
          <w:kern w:val="0"/>
          <w:szCs w:val="32"/>
          <w:lang w:bidi="ar"/>
        </w:rPr>
        <w:t>开展馆藏珍贵革命文物、一般革命文物的数字化保护工作，逐步实现代表性文物数字化保护全覆盖。推进全县革命文物资源大数据体系建设，建立完善革命文物数据库，实现革命文物网络资源共享。</w:t>
      </w:r>
    </w:p>
    <w:p>
      <w:pPr>
        <w:spacing w:line="600" w:lineRule="exact"/>
        <w:ind w:firstLine="643" w:firstLineChars="200"/>
        <w:rPr>
          <w:szCs w:val="32"/>
        </w:rPr>
      </w:pPr>
      <w:r>
        <w:rPr>
          <w:rFonts w:hint="eastAsia" w:ascii="楷体_GB2312" w:eastAsia="楷体_GB2312" w:hAnsiTheme="majorEastAsia" w:cstheme="majorEastAsia"/>
          <w:b/>
          <w:bCs/>
          <w:szCs w:val="32"/>
        </w:rPr>
        <w:t>（二）提升数字化利用水平。</w:t>
      </w:r>
      <w:r>
        <w:rPr>
          <w:rFonts w:hint="eastAsia" w:hAnsiTheme="minorEastAsia" w:cstheme="minorEastAsia"/>
          <w:szCs w:val="32"/>
        </w:rPr>
        <w:t>以秋收起义铜鼓纪念馆为重点，运用好</w:t>
      </w:r>
      <w:r>
        <w:rPr>
          <w:rFonts w:hint="eastAsia" w:hAnsiTheme="minorEastAsia" w:cstheme="minorEastAsia"/>
          <w:kern w:val="0"/>
          <w:szCs w:val="32"/>
          <w:lang w:bidi="ar"/>
        </w:rPr>
        <w:t>国保、省保、市县保等不可移动革命文物以及馆藏珍贵革命文物、一般革命文物的数字化资源，</w:t>
      </w:r>
      <w:r>
        <w:rPr>
          <w:rFonts w:hint="eastAsia" w:hAnsiTheme="majorEastAsia" w:cstheme="majorEastAsia"/>
          <w:szCs w:val="32"/>
          <w:shd w:val="clear" w:color="auto" w:fill="FFFFFF"/>
        </w:rPr>
        <w:t>丰富网络空间革命文化内容，</w:t>
      </w:r>
      <w:r>
        <w:rPr>
          <w:rFonts w:hint="eastAsia" w:hAnsi="宋体" w:cs="宋体"/>
          <w:szCs w:val="32"/>
        </w:rPr>
        <w:t>拓展线上文物展示和互动体验，</w:t>
      </w:r>
      <w:r>
        <w:rPr>
          <w:rFonts w:hint="eastAsia" w:hAnsiTheme="majorEastAsia" w:cstheme="majorEastAsia"/>
          <w:szCs w:val="32"/>
          <w:shd w:val="clear" w:color="auto" w:fill="FFFFFF"/>
        </w:rPr>
        <w:t>打造永不落幕的网上爱国主义教育空间。</w:t>
      </w:r>
      <w:r>
        <w:rPr>
          <w:rFonts w:hint="eastAsia" w:hAnsiTheme="minorEastAsia" w:cstheme="minorEastAsia"/>
          <w:kern w:val="0"/>
          <w:szCs w:val="32"/>
          <w:lang w:bidi="ar"/>
        </w:rPr>
        <w:t>运用AR</w:t>
      </w:r>
      <w:r>
        <w:rPr>
          <w:rFonts w:hint="eastAsia" w:hAnsiTheme="minorEastAsia" w:cstheme="minorEastAsia"/>
          <w:kern w:val="0"/>
          <w:szCs w:val="32"/>
          <w:lang w:eastAsia="zh-CN" w:bidi="ar"/>
        </w:rPr>
        <w:t>、</w:t>
      </w:r>
      <w:r>
        <w:rPr>
          <w:rFonts w:hint="eastAsia" w:hAnsiTheme="minorEastAsia" w:cstheme="minorEastAsia"/>
          <w:kern w:val="0"/>
          <w:szCs w:val="32"/>
          <w:lang w:bidi="ar"/>
        </w:rPr>
        <w:t>VR等现代科技手段，打造沉浸式利用场景，提升革命文物资源可视化、沉浸式和互动性。</w:t>
      </w:r>
    </w:p>
    <w:p>
      <w:pPr>
        <w:spacing w:line="600" w:lineRule="exact"/>
        <w:ind w:firstLine="643" w:firstLineChars="200"/>
        <w:rPr>
          <w:szCs w:val="32"/>
        </w:rPr>
      </w:pPr>
      <w:r>
        <w:rPr>
          <w:rFonts w:hint="eastAsia" w:ascii="楷体_GB2312" w:eastAsia="楷体_GB2312" w:hAnsiTheme="majorEastAsia" w:cstheme="majorEastAsia"/>
          <w:b/>
          <w:bCs/>
          <w:szCs w:val="32"/>
        </w:rPr>
        <w:t>（三）开展保护修缮技术研究。</w:t>
      </w:r>
      <w:r>
        <w:rPr>
          <w:rFonts w:hint="eastAsia" w:hAnsiTheme="majorEastAsia" w:cstheme="majorEastAsia"/>
          <w:kern w:val="0"/>
          <w:szCs w:val="32"/>
          <w:lang w:bidi="ar"/>
        </w:rPr>
        <w:t>加强与文物博物馆、文物保护专门机构、高校等开展技术攻关，重点研究木质结构建筑与土坯墙体保护与加固技术、</w:t>
      </w:r>
      <w:r>
        <w:rPr>
          <w:rFonts w:hint="eastAsia" w:hAnsiTheme="majorEastAsia" w:cstheme="majorEastAsia"/>
          <w:szCs w:val="32"/>
          <w:shd w:val="clear" w:color="auto" w:fill="FFFFFF"/>
        </w:rPr>
        <w:t>红色标语保护关键技术</w:t>
      </w:r>
      <w:r>
        <w:rPr>
          <w:rFonts w:hint="eastAsia" w:hAnsiTheme="majorEastAsia" w:cstheme="majorEastAsia"/>
          <w:kern w:val="0"/>
          <w:szCs w:val="32"/>
          <w:lang w:bidi="ar"/>
        </w:rPr>
        <w:t>，突破革命文物保护利用技术难点，</w:t>
      </w:r>
      <w:r>
        <w:rPr>
          <w:rFonts w:hint="eastAsia" w:hAnsiTheme="majorEastAsia" w:cstheme="majorEastAsia"/>
          <w:spacing w:val="-9"/>
          <w:szCs w:val="32"/>
        </w:rPr>
        <w:t>为革命文物保护利用</w:t>
      </w:r>
      <w:r>
        <w:rPr>
          <w:rFonts w:hint="eastAsia" w:hAnsiTheme="majorEastAsia" w:cstheme="majorEastAsia"/>
          <w:spacing w:val="-4"/>
          <w:szCs w:val="32"/>
        </w:rPr>
        <w:t>提</w:t>
      </w:r>
      <w:r>
        <w:rPr>
          <w:rFonts w:hint="eastAsia" w:hAnsiTheme="majorEastAsia" w:cstheme="majorEastAsia"/>
          <w:spacing w:val="-6"/>
          <w:szCs w:val="32"/>
        </w:rPr>
        <w:t>供基础技术支撑。</w:t>
      </w:r>
      <w:r>
        <w:rPr>
          <w:rFonts w:hint="eastAsia" w:hAnsiTheme="majorEastAsia" w:cstheme="majorEastAsia"/>
          <w:kern w:val="0"/>
          <w:szCs w:val="32"/>
          <w:lang w:bidi="ar"/>
        </w:rPr>
        <w:t>持续对革命文物保存情况进行动态评估，及时处理文物病害，实施精准修缮。</w:t>
      </w:r>
    </w:p>
    <w:p>
      <w:pPr>
        <w:pStyle w:val="14"/>
        <w:spacing w:before="0" w:beforeAutospacing="0" w:after="0" w:afterAutospacing="0" w:line="600" w:lineRule="exact"/>
        <w:ind w:firstLine="640" w:firstLineChars="200"/>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三、展陈质量提升工程</w:t>
      </w:r>
    </w:p>
    <w:p>
      <w:pPr>
        <w:pStyle w:val="14"/>
        <w:spacing w:before="0" w:beforeAutospacing="0" w:after="0" w:afterAutospacing="0" w:line="600" w:lineRule="exact"/>
        <w:ind w:firstLine="643" w:firstLineChars="200"/>
        <w:jc w:val="both"/>
        <w:rPr>
          <w:rFonts w:hAnsiTheme="majorEastAsia" w:cstheme="majorEastAsia"/>
          <w:sz w:val="32"/>
          <w:szCs w:val="32"/>
          <w:shd w:val="clear" w:color="auto" w:fill="FFFFFF"/>
        </w:rPr>
      </w:pPr>
      <w:r>
        <w:rPr>
          <w:rFonts w:hint="eastAsia" w:ascii="楷体_GB2312" w:eastAsia="楷体_GB2312" w:hAnsiTheme="majorEastAsia" w:cstheme="majorEastAsia"/>
          <w:b/>
          <w:bCs/>
          <w:kern w:val="2"/>
          <w:sz w:val="32"/>
          <w:szCs w:val="32"/>
        </w:rPr>
        <w:t>（一）实施革命文物展陈精品工程。</w:t>
      </w:r>
      <w:r>
        <w:rPr>
          <w:rFonts w:hint="eastAsia" w:hAnsiTheme="majorEastAsia" w:cstheme="majorEastAsia"/>
          <w:sz w:val="32"/>
          <w:szCs w:val="32"/>
          <w:lang w:bidi="ar"/>
        </w:rPr>
        <w:t>完善秋收起义部队新兵训练处旧址、湘鄂赣省苏维埃政府旧址、中国工农革命军第一军第一师三团一营营部旧址</w:t>
      </w:r>
      <w:r>
        <w:rPr>
          <w:rFonts w:hint="eastAsia" w:hAnsiTheme="majorEastAsia" w:cstheme="majorEastAsia"/>
          <w:sz w:val="32"/>
          <w:szCs w:val="32"/>
        </w:rPr>
        <w:t>等革命旧址展陈，不断丰富展览内涵。重点提升秋收起义铜鼓纪念馆、湘赣边界秋收起义前敌委员会旧址等</w:t>
      </w:r>
      <w:r>
        <w:rPr>
          <w:rFonts w:hint="eastAsia" w:hAnsiTheme="majorEastAsia" w:cstheme="majorEastAsia"/>
          <w:sz w:val="32"/>
          <w:szCs w:val="32"/>
          <w:lang w:bidi="ar"/>
        </w:rPr>
        <w:t>现有革命纪念场馆的展陈水平。</w:t>
      </w:r>
      <w:r>
        <w:rPr>
          <w:rFonts w:hint="eastAsia" w:hAnsiTheme="majorEastAsia" w:cstheme="majorEastAsia"/>
          <w:sz w:val="32"/>
          <w:szCs w:val="32"/>
        </w:rPr>
        <w:t>每年推介一批主题鲜明、内涵丰富、形式新颖、线上线下融合的革命文物展览精品。</w:t>
      </w:r>
    </w:p>
    <w:p>
      <w:pPr>
        <w:spacing w:line="600" w:lineRule="exact"/>
        <w:ind w:firstLine="643" w:firstLineChars="200"/>
        <w:rPr>
          <w:rFonts w:hAnsiTheme="majorEastAsia" w:cstheme="majorEastAsia"/>
          <w:szCs w:val="32"/>
        </w:rPr>
      </w:pPr>
      <w:r>
        <w:rPr>
          <w:rFonts w:hint="eastAsia" w:ascii="楷体_GB2312" w:eastAsia="楷体_GB2312" w:hAnsiTheme="majorEastAsia" w:cstheme="majorEastAsia"/>
          <w:b/>
          <w:bCs/>
          <w:szCs w:val="32"/>
        </w:rPr>
        <w:t>（二）提升博物馆纪念馆展示与服务水平。</w:t>
      </w:r>
      <w:r>
        <w:rPr>
          <w:rFonts w:hint="eastAsia" w:hAnsiTheme="majorEastAsia" w:cstheme="majorEastAsia"/>
          <w:szCs w:val="32"/>
        </w:rPr>
        <w:t>完善毛泽东脱险地、秋收起义铜鼓纪念馆等革命旧址、纪念场馆的旅游功能，提升场馆服务设施、接待条件和服务标准，提升基本陈列质量，提高藏品利用效率。</w:t>
      </w:r>
      <w:r>
        <w:rPr>
          <w:rFonts w:hint="eastAsia" w:hAnsiTheme="majorEastAsia" w:cstheme="majorEastAsia"/>
          <w:szCs w:val="32"/>
          <w:shd w:val="clear" w:color="auto" w:fill="FFFFFF"/>
        </w:rPr>
        <w:t>增强革命文物陈列展览的表现力、传播力、影响力，讲好毛泽东在铜鼓故事、工农红军建军故事</w:t>
      </w:r>
      <w:r>
        <w:rPr>
          <w:rFonts w:hint="eastAsia" w:hAnsiTheme="majorEastAsia" w:cstheme="majorEastAsia"/>
          <w:szCs w:val="32"/>
        </w:rPr>
        <w:t>。推动秋收起义铜鼓纪念馆创评国家二级博物馆。</w:t>
      </w:r>
    </w:p>
    <w:p>
      <w:pPr>
        <w:spacing w:line="600" w:lineRule="exact"/>
        <w:ind w:firstLine="643" w:firstLineChars="200"/>
        <w:rPr>
          <w:rFonts w:hAnsiTheme="majorEastAsia" w:cstheme="majorEastAsia"/>
          <w:szCs w:val="32"/>
        </w:rPr>
      </w:pPr>
      <w:r>
        <w:rPr>
          <w:rFonts w:hint="eastAsia" w:ascii="楷体_GB2312" w:eastAsia="楷体_GB2312" w:hAnsiTheme="majorEastAsia" w:cstheme="majorEastAsia"/>
          <w:b/>
          <w:bCs/>
          <w:szCs w:val="32"/>
        </w:rPr>
        <w:t>（三）推进社会力量创建博物馆。</w:t>
      </w:r>
      <w:r>
        <w:rPr>
          <w:rFonts w:hint="eastAsia" w:hAnsiTheme="majorEastAsia" w:cstheme="majorEastAsia"/>
          <w:szCs w:val="32"/>
        </w:rPr>
        <w:t>积极鼓励和扶持有条件的社会组织、企业、村集体或个人利用铜鼓丰富红色文化资源创办博物馆、纪念馆，县文化广电新闻出版旅游局对博物馆、纪念馆创设加以引导，在展陈上提供业务指导，加大支持力度。鼓励有能力的企业和个人依法收集、</w:t>
      </w:r>
      <w:r>
        <w:rPr>
          <w:rFonts w:hint="eastAsia" w:hAnsiTheme="majorEastAsia" w:cstheme="majorEastAsia"/>
          <w:spacing w:val="-16"/>
          <w:szCs w:val="32"/>
        </w:rPr>
        <w:t>收藏</w:t>
      </w:r>
      <w:r>
        <w:rPr>
          <w:rFonts w:hint="eastAsia" w:hAnsiTheme="majorEastAsia" w:cstheme="majorEastAsia"/>
          <w:spacing w:val="-15"/>
          <w:szCs w:val="32"/>
        </w:rPr>
        <w:t>社</w:t>
      </w:r>
      <w:r>
        <w:rPr>
          <w:rFonts w:hint="eastAsia" w:hAnsiTheme="majorEastAsia" w:cstheme="majorEastAsia"/>
          <w:spacing w:val="-8"/>
          <w:szCs w:val="32"/>
        </w:rPr>
        <w:t>会流散的红色文物，大力表彰奖励革命文物收藏者向国有</w:t>
      </w:r>
      <w:r>
        <w:rPr>
          <w:rFonts w:hint="eastAsia" w:hAnsiTheme="majorEastAsia" w:cstheme="majorEastAsia"/>
          <w:spacing w:val="-6"/>
          <w:szCs w:val="32"/>
        </w:rPr>
        <w:t>博物馆捐赠文物</w:t>
      </w:r>
      <w:r>
        <w:rPr>
          <w:rFonts w:hint="eastAsia" w:hAnsiTheme="majorEastAsia" w:cstheme="majorEastAsia"/>
          <w:spacing w:val="-3"/>
          <w:szCs w:val="32"/>
        </w:rPr>
        <w:t>的行为。</w:t>
      </w:r>
      <w:r>
        <w:rPr>
          <w:rFonts w:hint="eastAsia" w:hAnsiTheme="majorEastAsia" w:cstheme="majorEastAsia"/>
          <w:szCs w:val="32"/>
        </w:rPr>
        <w:t>县文化广电新闻出版旅游局和秋收起义铜鼓纪念馆积极为民间收藏者提供展示平台，整合国有文物和民间收藏文物资源，举办革命文物主题展览，努力让革命文物“活”起来。</w:t>
      </w:r>
    </w:p>
    <w:p>
      <w:pPr>
        <w:pStyle w:val="2"/>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tcPr>
          <w:p>
            <w:pPr>
              <w:pStyle w:val="2"/>
              <w:spacing w:after="0" w:line="600" w:lineRule="exact"/>
              <w:jc w:val="center"/>
            </w:pPr>
            <w:r>
              <w:rPr>
                <w:rStyle w:val="21"/>
                <w:rFonts w:hint="eastAsia" w:ascii="黑体" w:hAnsi="黑体" w:eastAsia="黑体" w:cs="黑体"/>
                <w:bCs/>
                <w:szCs w:val="32"/>
              </w:rPr>
              <w:t>专栏2</w:t>
            </w:r>
            <w:r>
              <w:rPr>
                <w:rStyle w:val="21"/>
                <w:rFonts w:eastAsia="黑体" w:cs="Calibri"/>
                <w:bCs/>
                <w:szCs w:val="32"/>
              </w:rPr>
              <w:t> </w:t>
            </w:r>
            <w:r>
              <w:rPr>
                <w:rStyle w:val="21"/>
                <w:rFonts w:hint="eastAsia" w:ascii="黑体" w:hAnsi="黑体" w:eastAsia="黑体" w:cs="黑体"/>
                <w:bCs/>
                <w:szCs w:val="32"/>
              </w:rPr>
              <w:t xml:space="preserve">  革命文物展示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35" w:type="dxa"/>
          </w:tcPr>
          <w:p>
            <w:pPr>
              <w:pStyle w:val="14"/>
              <w:spacing w:before="0" w:beforeAutospacing="0" w:after="0" w:afterAutospacing="0" w:line="600" w:lineRule="exact"/>
              <w:ind w:firstLine="643" w:firstLineChars="200"/>
              <w:jc w:val="both"/>
              <w:rPr>
                <w:rFonts w:hAnsiTheme="majorEastAsia" w:cstheme="majorEastAsia"/>
                <w:spacing w:val="-3"/>
                <w:sz w:val="32"/>
                <w:szCs w:val="32"/>
              </w:rPr>
            </w:pPr>
            <w:r>
              <w:rPr>
                <w:rFonts w:hint="eastAsia" w:hAnsiTheme="majorEastAsia" w:cstheme="majorEastAsia"/>
                <w:b/>
                <w:bCs/>
                <w:sz w:val="32"/>
                <w:szCs w:val="32"/>
              </w:rPr>
              <w:t>秋收起义铜鼓纪念馆提升工程。</w:t>
            </w:r>
            <w:r>
              <w:rPr>
                <w:rFonts w:hint="eastAsia" w:hAnsiTheme="majorEastAsia" w:cstheme="majorEastAsia"/>
                <w:sz w:val="32"/>
                <w:szCs w:val="32"/>
              </w:rPr>
              <w:t>落实革命博物馆纪念馆和革命旧址基本陈列超过5年的可进行局部改陈布展、基本陈列超过10年的可进行全面改陈布展的规定，</w:t>
            </w:r>
            <w:r>
              <w:rPr>
                <w:rFonts w:hint="eastAsia" w:hAnsiTheme="majorEastAsia" w:cstheme="majorEastAsia"/>
                <w:spacing w:val="1"/>
                <w:sz w:val="32"/>
                <w:szCs w:val="32"/>
              </w:rPr>
              <w:t>运用革命</w:t>
            </w:r>
            <w:r>
              <w:rPr>
                <w:rFonts w:hint="eastAsia" w:hAnsiTheme="majorEastAsia" w:cstheme="majorEastAsia"/>
                <w:sz w:val="32"/>
                <w:szCs w:val="32"/>
              </w:rPr>
              <w:t>文物改陈布展管理机制，着力打造主题突出、</w:t>
            </w:r>
            <w:r>
              <w:rPr>
                <w:rFonts w:hint="eastAsia" w:hAnsiTheme="majorEastAsia" w:cstheme="majorEastAsia"/>
                <w:spacing w:val="-6"/>
                <w:sz w:val="32"/>
                <w:szCs w:val="32"/>
              </w:rPr>
              <w:t>内涵丰富、形式</w:t>
            </w:r>
            <w:r>
              <w:rPr>
                <w:rFonts w:hint="eastAsia" w:hAnsiTheme="majorEastAsia" w:cstheme="majorEastAsia"/>
                <w:spacing w:val="-3"/>
                <w:sz w:val="32"/>
                <w:szCs w:val="32"/>
              </w:rPr>
              <w:t>新颖的秋收起义革命文物陈列展览精品。</w:t>
            </w:r>
          </w:p>
          <w:p>
            <w:pPr>
              <w:pStyle w:val="14"/>
              <w:spacing w:before="0" w:beforeAutospacing="0" w:after="0" w:afterAutospacing="0" w:line="600" w:lineRule="exact"/>
              <w:ind w:firstLine="643" w:firstLineChars="200"/>
              <w:jc w:val="both"/>
              <w:rPr>
                <w:rFonts w:hAnsiTheme="majorEastAsia" w:cstheme="majorEastAsia"/>
                <w:sz w:val="32"/>
                <w:szCs w:val="32"/>
              </w:rPr>
            </w:pPr>
            <w:r>
              <w:rPr>
                <w:rFonts w:hint="eastAsia" w:hAnsiTheme="majorEastAsia" w:cstheme="majorEastAsia"/>
                <w:b/>
                <w:bCs/>
                <w:sz w:val="32"/>
                <w:szCs w:val="32"/>
              </w:rPr>
              <w:t>革命文物专题展览工程。</w:t>
            </w:r>
            <w:r>
              <w:rPr>
                <w:rFonts w:hint="eastAsia" w:hAnsiTheme="majorEastAsia" w:cstheme="majorEastAsia"/>
                <w:sz w:val="32"/>
                <w:szCs w:val="32"/>
              </w:rPr>
              <w:t>重点结合建党纪念日、建军节等重要节日，推出秋收起义铜鼓纪念馆、重点革命旧址陈列展览精品，与湖南省浏阳市及萍乡市安源区、九江市修水县合办一批秋收起义专题展览活动，并积极在全国各地巡展。</w:t>
            </w:r>
          </w:p>
          <w:p>
            <w:pPr>
              <w:pStyle w:val="14"/>
              <w:spacing w:before="0" w:beforeAutospacing="0" w:after="0" w:afterAutospacing="0" w:line="600" w:lineRule="exact"/>
              <w:ind w:firstLine="643" w:firstLineChars="200"/>
              <w:jc w:val="both"/>
              <w:rPr>
                <w:sz w:val="32"/>
                <w:szCs w:val="32"/>
              </w:rPr>
            </w:pPr>
            <w:r>
              <w:rPr>
                <w:rFonts w:hint="eastAsia" w:hAnsiTheme="majorEastAsia" w:cstheme="majorEastAsia"/>
                <w:b/>
                <w:sz w:val="32"/>
                <w:szCs w:val="32"/>
              </w:rPr>
              <w:t>红色标语展示教育工程。</w:t>
            </w:r>
            <w:r>
              <w:rPr>
                <w:rFonts w:hint="eastAsia" w:hAnsi="宋体" w:cs="宋体"/>
                <w:sz w:val="32"/>
                <w:szCs w:val="32"/>
              </w:rPr>
              <w:t>积极开展红色标语主题教育，持续举办“铜鼓县红色标语展”，打造“红色标语驿站”，红色标语展先后走进广场、乡镇、校园、社区。将罗湾老屋、戴家老屋等打造成铜鼓红色研学基地的示范点，进一步丰富拓展和打造一批寓教于游、寓教于学的红色标语研学课程。</w:t>
            </w:r>
          </w:p>
        </w:tc>
      </w:tr>
    </w:tbl>
    <w:p/>
    <w:p>
      <w:pPr>
        <w:pStyle w:val="14"/>
        <w:spacing w:before="0" w:beforeAutospacing="0" w:after="0" w:afterAutospacing="0" w:line="600" w:lineRule="exact"/>
        <w:ind w:firstLine="640" w:firstLineChars="200"/>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四、红色基因传承工程</w:t>
      </w:r>
    </w:p>
    <w:p>
      <w:pPr>
        <w:spacing w:line="600" w:lineRule="exact"/>
        <w:ind w:firstLine="643" w:firstLineChars="200"/>
        <w:rPr>
          <w:rFonts w:hAnsiTheme="majorEastAsia" w:cstheme="majorEastAsia"/>
          <w:szCs w:val="32"/>
        </w:rPr>
      </w:pPr>
      <w:r>
        <w:rPr>
          <w:rFonts w:hint="eastAsia" w:ascii="楷体_GB2312" w:eastAsia="楷体_GB2312" w:hAnsiTheme="majorEastAsia" w:cstheme="majorEastAsia"/>
          <w:b/>
          <w:bCs/>
          <w:szCs w:val="32"/>
        </w:rPr>
        <w:t>（一）加强研究阐释。</w:t>
      </w:r>
      <w:r>
        <w:rPr>
          <w:rFonts w:hint="eastAsia" w:hAnsiTheme="majorEastAsia" w:cstheme="majorEastAsia"/>
          <w:spacing w:val="-8"/>
          <w:szCs w:val="32"/>
        </w:rPr>
        <w:t>持</w:t>
      </w:r>
      <w:r>
        <w:rPr>
          <w:rFonts w:hint="eastAsia" w:hAnsiTheme="majorEastAsia" w:cstheme="majorEastAsia"/>
          <w:spacing w:val="-5"/>
          <w:szCs w:val="32"/>
        </w:rPr>
        <w:t>续</w:t>
      </w:r>
      <w:r>
        <w:rPr>
          <w:rFonts w:hint="eastAsia" w:hAnsiTheme="majorEastAsia" w:cstheme="majorEastAsia"/>
          <w:spacing w:val="-4"/>
          <w:szCs w:val="32"/>
        </w:rPr>
        <w:t>开展革命文物和革命文献、档案、史料、口述资料的抢救、征</w:t>
      </w:r>
      <w:r>
        <w:rPr>
          <w:rFonts w:hint="eastAsia" w:hAnsiTheme="majorEastAsia" w:cstheme="majorEastAsia"/>
          <w:spacing w:val="-16"/>
          <w:szCs w:val="32"/>
        </w:rPr>
        <w:t>集与研究</w:t>
      </w:r>
      <w:r>
        <w:rPr>
          <w:rFonts w:hint="eastAsia" w:hAnsiTheme="majorEastAsia" w:cstheme="majorEastAsia"/>
          <w:spacing w:val="-8"/>
          <w:szCs w:val="32"/>
        </w:rPr>
        <w:t>。</w:t>
      </w:r>
      <w:r>
        <w:rPr>
          <w:rFonts w:hint="eastAsia" w:hAnsiTheme="majorEastAsia" w:cstheme="majorEastAsia"/>
          <w:spacing w:val="-11"/>
          <w:szCs w:val="32"/>
        </w:rPr>
        <w:t>整合全国秋收起义革命历史研究力量，</w:t>
      </w:r>
      <w:r>
        <w:rPr>
          <w:rFonts w:hint="eastAsia" w:hAnsiTheme="majorEastAsia" w:cstheme="majorEastAsia"/>
          <w:spacing w:val="-9"/>
          <w:szCs w:val="32"/>
        </w:rPr>
        <w:t>聘请文物、党史、军史专家，组建铜鼓县红色文化研究智库。</w:t>
      </w:r>
      <w:r>
        <w:rPr>
          <w:rFonts w:hint="eastAsia" w:hAnsiTheme="majorEastAsia" w:cstheme="majorEastAsia"/>
          <w:spacing w:val="-8"/>
          <w:szCs w:val="32"/>
        </w:rPr>
        <w:t>依托秋收起义纪念日、八一建军节、毛泽东诞辰日等</w:t>
      </w:r>
      <w:r>
        <w:rPr>
          <w:rFonts w:hint="eastAsia" w:hAnsiTheme="majorEastAsia" w:cstheme="majorEastAsia"/>
          <w:spacing w:val="-4"/>
          <w:szCs w:val="32"/>
        </w:rPr>
        <w:t>主</w:t>
      </w:r>
      <w:r>
        <w:rPr>
          <w:rFonts w:hint="eastAsia" w:hAnsiTheme="majorEastAsia" w:cstheme="majorEastAsia"/>
          <w:spacing w:val="-2"/>
          <w:szCs w:val="32"/>
        </w:rPr>
        <w:t>要节日、纪念日，开展秋收起义系列学术活动及主题论坛。</w:t>
      </w:r>
    </w:p>
    <w:p>
      <w:pPr>
        <w:spacing w:line="600" w:lineRule="exact"/>
        <w:ind w:firstLine="643" w:firstLineChars="200"/>
        <w:rPr>
          <w:rFonts w:hAnsiTheme="majorEastAsia" w:cstheme="majorEastAsia"/>
          <w:szCs w:val="32"/>
        </w:rPr>
      </w:pPr>
      <w:r>
        <w:rPr>
          <w:rFonts w:hint="eastAsia" w:ascii="楷体_GB2312" w:eastAsia="楷体_GB2312" w:hAnsiTheme="majorEastAsia" w:cstheme="majorEastAsia"/>
          <w:b/>
          <w:bCs/>
          <w:szCs w:val="32"/>
        </w:rPr>
        <w:t>（二）拓展革命纪念场馆教育功能。</w:t>
      </w:r>
      <w:r>
        <w:rPr>
          <w:rFonts w:hint="eastAsia" w:hAnsiTheme="majorEastAsia" w:cstheme="majorEastAsia"/>
          <w:kern w:val="0"/>
          <w:szCs w:val="32"/>
          <w:lang w:bidi="ar"/>
        </w:rPr>
        <w:t>建立秋收起义铜鼓纪念馆、毛泽东脱险地旧址等与党政机关、企事业单位、驻地部队、城乡社区的共建共享机制，有计划地组织党员干部、部队官兵和各界群众到革命文物场所参观学习。</w:t>
      </w:r>
      <w:r>
        <w:rPr>
          <w:rFonts w:hint="eastAsia" w:hAnsiTheme="minorEastAsia" w:cstheme="minorEastAsia"/>
          <w:szCs w:val="32"/>
        </w:rPr>
        <w:t>建设好铜鼓县委党校、铜鼓秋收起义干部教育培训中心，构建面向本地及全国的以湘赣边界秋收起义革命历史为特色的红色教育培训体系</w:t>
      </w:r>
      <w:r>
        <w:rPr>
          <w:rFonts w:hint="eastAsia" w:hAnsiTheme="majorEastAsia" w:cstheme="majorEastAsia"/>
          <w:szCs w:val="32"/>
        </w:rPr>
        <w:t>。在条件成熟的革命旧居旧址内设立图书室、非遗传习所，组织相关单位现场教学、召开支部会议。</w:t>
      </w:r>
    </w:p>
    <w:p>
      <w:pPr>
        <w:pStyle w:val="2"/>
        <w:spacing w:after="0" w:line="600" w:lineRule="exact"/>
        <w:ind w:firstLine="643" w:firstLineChars="200"/>
        <w:rPr>
          <w:rFonts w:ascii="仿宋_GB2312" w:hAnsi="宋体"/>
          <w:spacing w:val="5"/>
          <w:szCs w:val="32"/>
          <w:shd w:val="clear" w:color="auto" w:fill="FFFCFD"/>
        </w:rPr>
      </w:pPr>
      <w:r>
        <w:rPr>
          <w:rFonts w:hint="eastAsia" w:ascii="楷体_GB2312" w:eastAsia="楷体_GB2312" w:hAnsiTheme="majorEastAsia" w:cstheme="majorEastAsia"/>
          <w:b/>
          <w:bCs/>
          <w:szCs w:val="32"/>
        </w:rPr>
        <w:t>（三）运用革命文物开展研学实践。</w:t>
      </w:r>
      <w:r>
        <w:rPr>
          <w:rFonts w:hint="eastAsia" w:ascii="仿宋_GB2312" w:hAnsiTheme="majorEastAsia" w:cstheme="majorEastAsia"/>
          <w:szCs w:val="32"/>
        </w:rPr>
        <w:t>突出红色基因传承，利用</w:t>
      </w:r>
      <w:r>
        <w:rPr>
          <w:rFonts w:hint="eastAsia" w:ascii="仿宋_GB2312" w:hAnsiTheme="majorEastAsia" w:cstheme="majorEastAsia"/>
          <w:kern w:val="0"/>
          <w:szCs w:val="32"/>
          <w:lang w:bidi="ar"/>
        </w:rPr>
        <w:t>秋收起义铜鼓纪念馆</w:t>
      </w:r>
      <w:r>
        <w:rPr>
          <w:rFonts w:hint="eastAsia" w:ascii="仿宋_GB2312" w:hAnsiTheme="majorEastAsia" w:cstheme="majorEastAsia"/>
          <w:szCs w:val="32"/>
        </w:rPr>
        <w:t>、</w:t>
      </w:r>
      <w:r>
        <w:rPr>
          <w:rFonts w:hint="eastAsia" w:ascii="仿宋_GB2312" w:hAnsiTheme="majorEastAsia" w:cstheme="majorEastAsia"/>
          <w:spacing w:val="15"/>
          <w:szCs w:val="32"/>
          <w:shd w:val="clear" w:color="auto" w:fill="FFFFFF"/>
        </w:rPr>
        <w:t>湘鄂赣革命根据地铜鼓烈士纪念馆</w:t>
      </w:r>
      <w:r>
        <w:rPr>
          <w:rFonts w:hint="eastAsia" w:ascii="仿宋_GB2312" w:hAnsiTheme="majorEastAsia" w:cstheme="majorEastAsia"/>
          <w:szCs w:val="32"/>
        </w:rPr>
        <w:t>等全国爱国主义教育基地、国防教育示范基地、红色名村等，</w:t>
      </w:r>
      <w:r>
        <w:rPr>
          <w:rFonts w:hint="eastAsia" w:ascii="仿宋_GB2312" w:hAnsi="宋体"/>
          <w:szCs w:val="32"/>
        </w:rPr>
        <w:t>开发系列研学实践课程、研学旅行线路，加深青少年对革命文物的了解，激发青少年</w:t>
      </w:r>
      <w:r>
        <w:rPr>
          <w:rFonts w:hint="eastAsia" w:ascii="仿宋_GB2312" w:hAnsi="宋体"/>
          <w:spacing w:val="5"/>
          <w:szCs w:val="32"/>
          <w:shd w:val="clear" w:color="auto" w:fill="FFFCFD"/>
          <w:lang w:eastAsia="zh-CN"/>
        </w:rPr>
        <w:t>继承</w:t>
      </w:r>
      <w:r>
        <w:rPr>
          <w:rFonts w:hint="eastAsia" w:ascii="仿宋_GB2312" w:hAnsi="宋体"/>
          <w:spacing w:val="5"/>
          <w:szCs w:val="32"/>
          <w:shd w:val="clear" w:color="auto" w:fill="FFFCFD"/>
        </w:rPr>
        <w:t>发扬红色文化和革命传统，厚植青少年爱党、爱国情怀。</w:t>
      </w:r>
    </w:p>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tcPr>
          <w:p>
            <w:pPr>
              <w:spacing w:line="600" w:lineRule="exact"/>
              <w:jc w:val="center"/>
              <w:rPr>
                <w:b/>
              </w:rPr>
            </w:pPr>
            <w:r>
              <w:rPr>
                <w:rStyle w:val="21"/>
                <w:rFonts w:hint="eastAsia" w:ascii="黑体" w:hAnsi="黑体" w:eastAsia="黑体" w:cs="黑体"/>
                <w:b w:val="0"/>
                <w:szCs w:val="32"/>
              </w:rPr>
              <w:t>专栏3    革命精神传承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35" w:type="dxa"/>
          </w:tcPr>
          <w:p>
            <w:pPr>
              <w:spacing w:line="600" w:lineRule="exact"/>
              <w:ind w:firstLine="643" w:firstLineChars="200"/>
              <w:rPr>
                <w:rFonts w:hAnsi="宋体" w:cs="宋体"/>
                <w:szCs w:val="32"/>
              </w:rPr>
            </w:pPr>
            <w:r>
              <w:rPr>
                <w:rFonts w:hint="eastAsia" w:hAnsi="宋体" w:cs="宋体"/>
                <w:b/>
                <w:bCs/>
                <w:szCs w:val="32"/>
              </w:rPr>
              <w:t>加强科研合作。</w:t>
            </w:r>
            <w:r>
              <w:rPr>
                <w:rFonts w:hint="eastAsia" w:hAnsi="宋体" w:cs="宋体"/>
                <w:szCs w:val="32"/>
              </w:rPr>
              <w:t>组建由中共江西省委党史研究室、南昌陆军指挥学院、江西省博物馆、江西师范大学、宜春学院、县委党校等单位参与的专家咨询小组，推动省地共建机制，对革命文物进行更加深入的内涵挖掘和价值阐释，加强秋收起义革命历史研究工作，形成一批学术成果。</w:t>
            </w:r>
          </w:p>
          <w:p>
            <w:pPr>
              <w:spacing w:line="600" w:lineRule="exact"/>
              <w:ind w:firstLine="643" w:firstLineChars="200"/>
            </w:pPr>
            <w:r>
              <w:rPr>
                <w:rFonts w:hint="eastAsia" w:hAnsi="宋体" w:cs="宋体"/>
                <w:b/>
                <w:bCs/>
                <w:szCs w:val="32"/>
              </w:rPr>
              <w:t>传承红色基因。</w:t>
            </w:r>
            <w:r>
              <w:rPr>
                <w:rFonts w:hint="eastAsia" w:hAnsi="宋体" w:cs="宋体"/>
                <w:szCs w:val="32"/>
              </w:rPr>
              <w:t>依托铜鼓丰富</w:t>
            </w:r>
            <w:r>
              <w:rPr>
                <w:rFonts w:hint="eastAsia" w:hAnsi="宋体" w:cs="宋体"/>
                <w:szCs w:val="32"/>
                <w:lang w:eastAsia="zh-CN"/>
              </w:rPr>
              <w:t>的</w:t>
            </w:r>
            <w:r>
              <w:rPr>
                <w:rFonts w:hint="eastAsia" w:hAnsi="宋体" w:cs="宋体"/>
                <w:szCs w:val="32"/>
              </w:rPr>
              <w:t>红色文化资源，研发和建立服务党史学习教育、“四史”宣传教育、思想政治教育和青少年教育的革命文物内容素材库，开展党的故事我来讲——争做红领巾讲解员、纪念</w:t>
            </w:r>
            <w:r>
              <w:rPr>
                <w:rFonts w:hint="eastAsia" w:hAnsiTheme="minorEastAsia" w:cstheme="minorEastAsia"/>
                <w:szCs w:val="32"/>
              </w:rPr>
              <w:t>馆里的思政课等系列主题活动，厚植红色基因，</w:t>
            </w:r>
            <w:r>
              <w:rPr>
                <w:rFonts w:hint="eastAsia" w:hAnsi="宋体" w:cs="宋体"/>
                <w:szCs w:val="32"/>
              </w:rPr>
              <w:t>使革命精神和红色文化辐射到更广泛的人群。</w:t>
            </w:r>
          </w:p>
        </w:tc>
      </w:tr>
    </w:tbl>
    <w:p>
      <w:pPr>
        <w:pStyle w:val="14"/>
        <w:spacing w:before="0" w:beforeAutospacing="0" w:after="0" w:afterAutospacing="0" w:line="400" w:lineRule="exact"/>
        <w:ind w:firstLine="640" w:firstLineChars="200"/>
        <w:rPr>
          <w:rFonts w:ascii="黑体" w:hAnsi="黑体" w:eastAsia="黑体" w:cs="楷体"/>
          <w:sz w:val="32"/>
          <w:szCs w:val="32"/>
          <w:shd w:val="clear" w:color="auto" w:fill="FFFFFF"/>
        </w:rPr>
      </w:pPr>
    </w:p>
    <w:p>
      <w:pPr>
        <w:pStyle w:val="14"/>
        <w:spacing w:before="0" w:beforeAutospacing="0" w:after="0" w:afterAutospacing="0" w:line="600" w:lineRule="exact"/>
        <w:ind w:firstLine="640" w:firstLineChars="200"/>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五、红色品牌宣推工程</w:t>
      </w:r>
    </w:p>
    <w:p>
      <w:pPr>
        <w:spacing w:line="600" w:lineRule="exact"/>
        <w:ind w:firstLine="643" w:firstLineChars="200"/>
        <w:jc w:val="left"/>
        <w:rPr>
          <w:rFonts w:hAnsiTheme="majorEastAsia" w:cstheme="majorEastAsia"/>
          <w:b/>
          <w:bCs/>
          <w:kern w:val="0"/>
          <w:szCs w:val="32"/>
          <w:lang w:bidi="ar"/>
        </w:rPr>
      </w:pPr>
      <w:r>
        <w:rPr>
          <w:rFonts w:hint="eastAsia" w:ascii="楷体_GB2312" w:eastAsia="楷体_GB2312" w:hAnsiTheme="majorEastAsia" w:cstheme="majorEastAsia"/>
          <w:b/>
          <w:bCs/>
          <w:szCs w:val="32"/>
        </w:rPr>
        <w:t>（一）提升品牌影响力。</w:t>
      </w:r>
      <w:r>
        <w:rPr>
          <w:rFonts w:hint="eastAsia" w:hAnsiTheme="majorEastAsia" w:cstheme="majorEastAsia"/>
          <w:szCs w:val="32"/>
        </w:rPr>
        <w:t>加强“秋收起义——湘赣红旗”“毛泽东脱险地”“全苏区县”等特色红色文化资源和革命文物宣传，树立秋收起义红色文化地标，在更宽领域、更高层面唱响“铜鼓红”品牌，让铜鼓“响”起来。</w:t>
      </w:r>
      <w:r>
        <w:rPr>
          <w:rFonts w:hint="eastAsia" w:hAnsiTheme="majorEastAsia" w:cstheme="majorEastAsia"/>
          <w:kern w:val="0"/>
          <w:szCs w:val="32"/>
          <w:lang w:bidi="ar"/>
        </w:rPr>
        <w:t>打造以</w:t>
      </w:r>
      <w:r>
        <w:rPr>
          <w:rFonts w:hint="eastAsia" w:hAnsiTheme="majorEastAsia" w:cstheme="majorEastAsia"/>
          <w:bCs/>
          <w:kern w:val="0"/>
          <w:szCs w:val="32"/>
        </w:rPr>
        <w:t>“秋收起义在铜鼓”</w:t>
      </w:r>
      <w:r>
        <w:rPr>
          <w:rFonts w:hint="eastAsia" w:hAnsiTheme="majorEastAsia" w:cstheme="majorEastAsia"/>
          <w:kern w:val="0"/>
          <w:szCs w:val="32"/>
          <w:lang w:bidi="ar"/>
        </w:rPr>
        <w:t xml:space="preserve">为主题的文化IP，扩大铜鼓红色文化品牌的知名度与影响力。 </w:t>
      </w:r>
    </w:p>
    <w:p>
      <w:pPr>
        <w:spacing w:line="600" w:lineRule="exact"/>
        <w:ind w:firstLine="643" w:firstLineChars="200"/>
        <w:jc w:val="left"/>
        <w:rPr>
          <w:rFonts w:hAnsiTheme="minorEastAsia" w:cstheme="minorEastAsia"/>
          <w:szCs w:val="32"/>
        </w:rPr>
      </w:pPr>
      <w:r>
        <w:rPr>
          <w:rFonts w:hint="eastAsia" w:ascii="楷体_GB2312" w:eastAsia="楷体_GB2312" w:hAnsiTheme="majorEastAsia" w:cstheme="majorEastAsia"/>
          <w:b/>
          <w:bCs/>
          <w:szCs w:val="32"/>
        </w:rPr>
        <w:t>（二）拓展宣传覆盖面。</w:t>
      </w:r>
      <w:r>
        <w:rPr>
          <w:rFonts w:hint="eastAsia" w:hAnsiTheme="majorEastAsia" w:cstheme="majorEastAsia"/>
          <w:kern w:val="0"/>
          <w:szCs w:val="32"/>
          <w:lang w:bidi="ar"/>
        </w:rPr>
        <w:t>借助学习强国等学习平台和全国影响力较大的融媒体平台，宣传铜鼓红色文化。</w:t>
      </w:r>
      <w:r>
        <w:rPr>
          <w:rFonts w:hint="eastAsia" w:hAnsiTheme="majorEastAsia" w:cstheme="majorEastAsia"/>
          <w:szCs w:val="32"/>
        </w:rPr>
        <w:t>编辑铜鼓红色历史、红色故事、红色歌谣等讲解素材。</w:t>
      </w:r>
      <w:r>
        <w:rPr>
          <w:rFonts w:hint="eastAsia" w:hAnsiTheme="majorEastAsia" w:cstheme="majorEastAsia"/>
          <w:kern w:val="0"/>
          <w:szCs w:val="32"/>
          <w:lang w:bidi="ar"/>
        </w:rPr>
        <w:t>持续推出革命文物公益广告，在报纸、电视、网络等媒体平台常态展示，加大革命文物的宣传力度</w:t>
      </w:r>
      <w:r>
        <w:rPr>
          <w:rFonts w:hint="eastAsia" w:hAnsiTheme="majorEastAsia" w:cstheme="majorEastAsia"/>
          <w:szCs w:val="32"/>
        </w:rPr>
        <w:t>，</w:t>
      </w:r>
      <w:r>
        <w:rPr>
          <w:rFonts w:hint="eastAsia" w:hAnsi="宋体" w:cs="宋体"/>
          <w:kern w:val="0"/>
          <w:szCs w:val="32"/>
          <w:lang w:bidi="ar"/>
        </w:rPr>
        <w:t>通过活动宣传和革命文物展陈，丰富群众</w:t>
      </w:r>
      <w:r>
        <w:rPr>
          <w:rFonts w:hint="eastAsia" w:hAnsiTheme="minorEastAsia" w:cstheme="minorEastAsia"/>
          <w:kern w:val="0"/>
          <w:szCs w:val="32"/>
          <w:lang w:bidi="ar"/>
        </w:rPr>
        <w:t>文化生活，</w:t>
      </w:r>
      <w:r>
        <w:rPr>
          <w:rFonts w:hint="eastAsia" w:hAnsiTheme="minorEastAsia" w:cstheme="minorEastAsia"/>
          <w:szCs w:val="32"/>
        </w:rPr>
        <w:t>培育和形成保护革命文物的社会氛围。</w:t>
      </w:r>
    </w:p>
    <w:p>
      <w:pPr>
        <w:spacing w:line="600" w:lineRule="exact"/>
        <w:ind w:firstLine="643" w:firstLineChars="200"/>
        <w:rPr>
          <w:rFonts w:hAnsiTheme="minorEastAsia" w:cstheme="minorEastAsia"/>
          <w:szCs w:val="32"/>
        </w:rPr>
      </w:pPr>
      <w:r>
        <w:rPr>
          <w:rFonts w:hint="eastAsia" w:ascii="楷体_GB2312" w:eastAsia="楷体_GB2312" w:hAnsiTheme="majorEastAsia" w:cstheme="majorEastAsia"/>
          <w:b/>
          <w:bCs/>
          <w:szCs w:val="32"/>
        </w:rPr>
        <w:t>（三）创新传播方式。</w:t>
      </w:r>
      <w:r>
        <w:rPr>
          <w:rFonts w:hint="eastAsia" w:hAnsiTheme="minorEastAsia" w:cstheme="minorEastAsia"/>
          <w:szCs w:val="32"/>
        </w:rPr>
        <w:t>广泛发动党员干部群众学习宣讲革命历史、革命文物故事。利用多媒体资源，推进“互联网＋”革命文物的展陈形式，在新闻聚合类、短视频、直播类、社交娱乐类等相关平台开展铜鼓革命文物保护利用的线上线下宣传，增强文化传播的感染力。制播革命文物主题纪录片、微视频，推进“互联网＋”，利用多媒体资源，为不同群体提供“菜单式”内容服务。</w:t>
      </w:r>
    </w:p>
    <w:p>
      <w:pPr>
        <w:spacing w:line="600" w:lineRule="exact"/>
        <w:ind w:firstLine="640" w:firstLineChars="200"/>
        <w:rPr>
          <w:rFonts w:ascii="黑体" w:hAnsi="黑体" w:eastAsia="黑体" w:cs="楷体"/>
          <w:szCs w:val="32"/>
          <w:shd w:val="clear" w:color="auto" w:fill="FFFFFF"/>
        </w:rPr>
      </w:pPr>
      <w:r>
        <w:rPr>
          <w:rFonts w:hint="eastAsia" w:ascii="黑体" w:hAnsi="黑体" w:eastAsia="黑体" w:cs="楷体"/>
          <w:szCs w:val="32"/>
          <w:shd w:val="clear" w:color="auto" w:fill="FFFFFF"/>
        </w:rPr>
        <w:t>六、文旅融合发展工程</w:t>
      </w:r>
    </w:p>
    <w:p>
      <w:pPr>
        <w:spacing w:line="600" w:lineRule="exact"/>
        <w:ind w:firstLine="643" w:firstLineChars="200"/>
        <w:rPr>
          <w:rFonts w:hAnsiTheme="majorEastAsia" w:cstheme="majorEastAsia"/>
          <w:szCs w:val="32"/>
        </w:rPr>
      </w:pPr>
      <w:r>
        <w:rPr>
          <w:rFonts w:hint="eastAsia" w:ascii="楷体_GB2312" w:eastAsia="楷体_GB2312" w:hAnsiTheme="majorEastAsia" w:cstheme="majorEastAsia"/>
          <w:b/>
          <w:bCs/>
          <w:szCs w:val="32"/>
        </w:rPr>
        <w:t>（一）推动文旅融合发展。</w:t>
      </w:r>
      <w:r>
        <w:rPr>
          <w:rFonts w:hint="eastAsia" w:hAnsiTheme="minorEastAsia" w:cstheme="minorEastAsia"/>
          <w:szCs w:val="32"/>
        </w:rPr>
        <w:t>依托生态康养福地、红土革命圣地、古色文化胜地、客家文化家园等资源优势，围绕秋收起义和全苏区县等红色文化资源，与周边旅游资源串联整合，推动“红色+生态绿色”“红色+客家古色”“红色+康养”“红色+民宿”“红色+乡村振兴”融合发展，实现革命历史教育、自然风光领略、休闲康养旅游、红色文化传承等多主题、多层次、多维度地融合，打造秋收起义纪念地、湘鄂赣旅游合作示范地。</w:t>
      </w:r>
    </w:p>
    <w:p>
      <w:pPr>
        <w:spacing w:line="600" w:lineRule="exact"/>
        <w:ind w:firstLine="643" w:firstLineChars="200"/>
        <w:rPr>
          <w:rFonts w:hAnsiTheme="minorEastAsia" w:cstheme="minorEastAsia"/>
          <w:szCs w:val="32"/>
        </w:rPr>
      </w:pPr>
      <w:r>
        <w:rPr>
          <w:rFonts w:hint="eastAsia" w:ascii="楷体_GB2312" w:eastAsia="楷体_GB2312" w:hAnsiTheme="majorEastAsia" w:cstheme="majorEastAsia"/>
          <w:b/>
          <w:bCs/>
          <w:szCs w:val="32"/>
        </w:rPr>
        <w:t>（二）精心打造红色景区。</w:t>
      </w:r>
      <w:r>
        <w:rPr>
          <w:rFonts w:hint="eastAsia" w:hAnsiTheme="minorEastAsia" w:cstheme="minorEastAsia"/>
          <w:szCs w:val="32"/>
        </w:rPr>
        <w:t>发挥革命文物对红色旅游的核心带动作用，统筹铜鼓丰富</w:t>
      </w:r>
      <w:r>
        <w:rPr>
          <w:rFonts w:hint="eastAsia" w:hAnsiTheme="minorEastAsia" w:cstheme="minorEastAsia"/>
          <w:szCs w:val="32"/>
          <w:lang w:eastAsia="zh-CN"/>
        </w:rPr>
        <w:t>的</w:t>
      </w:r>
      <w:r>
        <w:rPr>
          <w:rFonts w:hint="eastAsia" w:hAnsiTheme="minorEastAsia" w:cstheme="minorEastAsia"/>
          <w:szCs w:val="32"/>
        </w:rPr>
        <w:t>红色文化资源和自然资源，建设铜鼓国家重点红色旅游区。以永宁镇、排埠镇等秋收起义纪念地，棋坪镇、高桥乡等湘鄂赣根据地</w:t>
      </w:r>
      <w:r>
        <w:rPr>
          <w:rFonts w:hint="eastAsia" w:hAnsiTheme="minorEastAsia" w:cstheme="minorEastAsia"/>
          <w:szCs w:val="32"/>
          <w:lang w:eastAsia="zh-CN"/>
        </w:rPr>
        <w:t>，</w:t>
      </w:r>
      <w:r>
        <w:rPr>
          <w:rFonts w:hint="eastAsia" w:hAnsiTheme="minorEastAsia" w:cstheme="minorEastAsia"/>
          <w:szCs w:val="32"/>
        </w:rPr>
        <w:t>铜鼓县苏维埃政权革命旧址，温泉镇上庄纸业工会旧址、上庄湘鄂赣省苏维埃政府生产合作社造纸厂旧址，三都镇中共铜鼓县委机关旧址、红十六军三团驻地旧址标语墙等革命文物资源为牵引，打造一批特色鲜明的红色景区。</w:t>
      </w:r>
    </w:p>
    <w:p>
      <w:pPr>
        <w:spacing w:line="600" w:lineRule="exact"/>
        <w:ind w:firstLine="643" w:firstLineChars="200"/>
        <w:rPr>
          <w:rFonts w:hint="eastAsia" w:hAnsiTheme="majorEastAsia" w:cstheme="majorEastAsia"/>
          <w:kern w:val="0"/>
          <w:szCs w:val="32"/>
          <w:lang w:bidi="ar"/>
        </w:rPr>
      </w:pPr>
      <w:r>
        <w:rPr>
          <w:rFonts w:hint="eastAsia" w:ascii="楷体_GB2312" w:eastAsia="楷体_GB2312" w:hAnsiTheme="majorEastAsia" w:cstheme="majorEastAsia"/>
          <w:b/>
          <w:bCs/>
          <w:szCs w:val="32"/>
        </w:rPr>
        <w:t>（三）研发文化创意产品。</w:t>
      </w:r>
      <w:r>
        <w:rPr>
          <w:rFonts w:hint="eastAsia" w:hAnsiTheme="majorEastAsia" w:cstheme="majorEastAsia"/>
          <w:kern w:val="0"/>
          <w:szCs w:val="32"/>
          <w:lang w:bidi="ar"/>
        </w:rPr>
        <w:t>依托革命文物资源，突出红色文化和特色，采取合作、授权、独立开发等方式进行文化创意产品开发，打造一批实用性和艺术性相结合的文化创意产品。依托文物资源开展红色文化元素、符号推荐评选活动，举办文创产品设计比赛，推进文化创意产业发展。</w:t>
      </w:r>
    </w:p>
    <w:p>
      <w:pPr>
        <w:pStyle w:val="2"/>
        <w:rPr>
          <w:rFonts w:hint="eastAsia"/>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tcPr>
          <w:p>
            <w:pPr>
              <w:pStyle w:val="2"/>
              <w:spacing w:after="0" w:line="600" w:lineRule="exact"/>
              <w:jc w:val="center"/>
              <w:rPr>
                <w:b/>
                <w:lang w:bidi="ar"/>
              </w:rPr>
            </w:pPr>
            <w:r>
              <w:rPr>
                <w:rStyle w:val="21"/>
                <w:rFonts w:hint="eastAsia" w:ascii="黑体" w:hAnsi="黑体" w:eastAsia="黑体" w:cs="黑体"/>
                <w:b w:val="0"/>
                <w:szCs w:val="32"/>
              </w:rPr>
              <w:t>专栏4    革命文物领域融合发展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tcPr>
          <w:p>
            <w:pPr>
              <w:spacing w:line="600" w:lineRule="exact"/>
              <w:ind w:firstLine="611" w:firstLineChars="200"/>
              <w:rPr>
                <w:rFonts w:hAnsi="宋体" w:cs="宋体"/>
                <w:spacing w:val="-2"/>
                <w:szCs w:val="32"/>
              </w:rPr>
            </w:pPr>
            <w:r>
              <w:rPr>
                <w:rFonts w:hint="eastAsia" w:hAnsiTheme="majorEastAsia" w:cstheme="majorEastAsia"/>
                <w:b/>
                <w:bCs/>
                <w:spacing w:val="-8"/>
                <w:szCs w:val="32"/>
              </w:rPr>
              <w:t>大力发展红</w:t>
            </w:r>
            <w:r>
              <w:rPr>
                <w:rFonts w:hint="eastAsia" w:hAnsiTheme="majorEastAsia" w:cstheme="majorEastAsia"/>
                <w:b/>
                <w:bCs/>
                <w:spacing w:val="-11"/>
                <w:szCs w:val="32"/>
              </w:rPr>
              <w:t>色旅游。</w:t>
            </w:r>
            <w:r>
              <w:rPr>
                <w:rFonts w:hint="eastAsia" w:hAnsiTheme="majorEastAsia" w:cstheme="majorEastAsia"/>
                <w:szCs w:val="32"/>
                <w:shd w:val="clear" w:color="auto" w:fill="FFFFFF"/>
              </w:rPr>
              <w:t>推出</w:t>
            </w:r>
            <w:r>
              <w:rPr>
                <w:rFonts w:hint="eastAsia" w:hAnsi="宋体" w:cs="宋体"/>
                <w:kern w:val="0"/>
                <w:szCs w:val="32"/>
                <w:lang w:bidi="ar"/>
              </w:rPr>
              <w:t>毛泽东脱险地（</w:t>
            </w:r>
            <w:r>
              <w:rPr>
                <w:rFonts w:hint="eastAsia" w:hAnsiTheme="majorEastAsia" w:cstheme="majorEastAsia"/>
                <w:szCs w:val="32"/>
                <w:shd w:val="clear" w:color="auto" w:fill="FFFFFF"/>
              </w:rPr>
              <w:t>排埠镇</w:t>
            </w:r>
            <w:r>
              <w:rPr>
                <w:rFonts w:hint="eastAsia" w:hAnsi="宋体" w:cs="宋体"/>
                <w:kern w:val="0"/>
                <w:szCs w:val="32"/>
                <w:lang w:bidi="ar"/>
              </w:rPr>
              <w:t>）—</w:t>
            </w:r>
            <w:r>
              <w:rPr>
                <w:rFonts w:hint="eastAsia" w:hAnsiTheme="majorEastAsia" w:cstheme="majorEastAsia"/>
                <w:szCs w:val="32"/>
                <w:shd w:val="clear" w:color="auto" w:fill="FFFFFF"/>
              </w:rPr>
              <w:t>工农革命军第一军第一师第三团回师铜鼓旧址</w:t>
            </w:r>
            <w:r>
              <w:rPr>
                <w:rFonts w:hint="eastAsia" w:hAnsi="宋体" w:cs="宋体"/>
                <w:kern w:val="0"/>
                <w:szCs w:val="32"/>
                <w:lang w:bidi="ar"/>
              </w:rPr>
              <w:t>（</w:t>
            </w:r>
            <w:r>
              <w:rPr>
                <w:rFonts w:hint="eastAsia" w:hAnsiTheme="majorEastAsia" w:cstheme="majorEastAsia"/>
                <w:szCs w:val="32"/>
                <w:shd w:val="clear" w:color="auto" w:fill="FFFFFF"/>
              </w:rPr>
              <w:t>排埠镇</w:t>
            </w:r>
            <w:r>
              <w:rPr>
                <w:rFonts w:hint="eastAsia" w:hAnsi="宋体" w:cs="宋体"/>
                <w:kern w:val="0"/>
                <w:szCs w:val="32"/>
                <w:lang w:bidi="ar"/>
              </w:rPr>
              <w:t>）</w:t>
            </w:r>
            <w:r>
              <w:rPr>
                <w:rFonts w:hint="eastAsia" w:hAnsiTheme="majorEastAsia" w:cstheme="majorEastAsia"/>
                <w:szCs w:val="32"/>
                <w:shd w:val="clear" w:color="auto" w:fill="FFFFFF"/>
              </w:rPr>
              <w:t>—秋</w:t>
            </w:r>
            <w:r>
              <w:rPr>
                <w:rFonts w:hint="eastAsia" w:hAnsi="宋体" w:cs="宋体"/>
                <w:szCs w:val="32"/>
                <w:shd w:val="clear" w:color="auto" w:fill="FFFFFF"/>
              </w:rPr>
              <w:t>收起义铜鼓纪念馆（</w:t>
            </w:r>
            <w:r>
              <w:rPr>
                <w:rFonts w:hint="eastAsia" w:hAnsiTheme="majorEastAsia" w:cstheme="majorEastAsia"/>
                <w:szCs w:val="32"/>
                <w:shd w:val="clear" w:color="auto" w:fill="FFFFFF"/>
              </w:rPr>
              <w:t>县城</w:t>
            </w:r>
            <w:r>
              <w:rPr>
                <w:rFonts w:hint="eastAsia" w:hAnsi="宋体" w:cs="宋体"/>
                <w:szCs w:val="32"/>
                <w:shd w:val="clear" w:color="auto" w:fill="FFFFFF"/>
              </w:rPr>
              <w:t>）—湘鄂赣革命烈士陵园（</w:t>
            </w:r>
            <w:r>
              <w:rPr>
                <w:rFonts w:hint="eastAsia" w:hAnsiTheme="majorEastAsia" w:cstheme="majorEastAsia"/>
                <w:szCs w:val="32"/>
                <w:shd w:val="clear" w:color="auto" w:fill="FFFFFF"/>
              </w:rPr>
              <w:t>县城</w:t>
            </w:r>
            <w:r>
              <w:rPr>
                <w:rFonts w:hint="eastAsia" w:hAnsi="宋体" w:cs="宋体"/>
                <w:szCs w:val="32"/>
                <w:shd w:val="clear" w:color="auto" w:fill="FFFFFF"/>
              </w:rPr>
              <w:t>）—首届</w:t>
            </w:r>
            <w:r>
              <w:rPr>
                <w:rFonts w:hint="eastAsia" w:hAnsiTheme="minorEastAsia" w:cstheme="minorEastAsia"/>
                <w:szCs w:val="32"/>
              </w:rPr>
              <w:t>中共铜鼓县委机关旧址（</w:t>
            </w:r>
            <w:r>
              <w:rPr>
                <w:rFonts w:hint="eastAsia" w:hAnsi="宋体" w:cs="宋体"/>
                <w:szCs w:val="32"/>
                <w:shd w:val="clear" w:color="auto" w:fill="FFFFFF"/>
              </w:rPr>
              <w:t>三都镇</w:t>
            </w:r>
            <w:r>
              <w:rPr>
                <w:rFonts w:hint="eastAsia" w:hAnsiTheme="minorEastAsia" w:cstheme="minorEastAsia"/>
                <w:szCs w:val="32"/>
              </w:rPr>
              <w:t>）—秋收起义沉浸式体验中心（大塅镇），秋收起义铜鼓纪念馆</w:t>
            </w:r>
            <w:r>
              <w:rPr>
                <w:rFonts w:hint="eastAsia" w:hAnsi="宋体" w:cs="宋体"/>
                <w:szCs w:val="32"/>
                <w:shd w:val="clear" w:color="auto" w:fill="FFFFFF"/>
              </w:rPr>
              <w:t>（</w:t>
            </w:r>
            <w:r>
              <w:rPr>
                <w:rFonts w:hint="eastAsia" w:hAnsiTheme="majorEastAsia" w:cstheme="majorEastAsia"/>
                <w:szCs w:val="32"/>
                <w:shd w:val="clear" w:color="auto" w:fill="FFFFFF"/>
              </w:rPr>
              <w:t>县城</w:t>
            </w:r>
            <w:r>
              <w:rPr>
                <w:rFonts w:hint="eastAsia" w:hAnsi="宋体" w:cs="宋体"/>
                <w:szCs w:val="32"/>
                <w:shd w:val="clear" w:color="auto" w:fill="FFFFFF"/>
              </w:rPr>
              <w:t>）</w:t>
            </w:r>
            <w:r>
              <w:rPr>
                <w:rFonts w:hint="eastAsia" w:hAnsiTheme="minorEastAsia" w:cstheme="minorEastAsia"/>
                <w:szCs w:val="32"/>
              </w:rPr>
              <w:t>—铜鼓县苏维埃政府旧址（高桥乡）—幽居会议旧址（</w:t>
            </w:r>
            <w:r>
              <w:rPr>
                <w:rFonts w:hAnsiTheme="minorEastAsia" w:cstheme="minorEastAsia"/>
                <w:szCs w:val="32"/>
              </w:rPr>
              <w:t>棋坪镇</w:t>
            </w:r>
            <w:r>
              <w:rPr>
                <w:rFonts w:hint="eastAsia" w:hAnsiTheme="minorEastAsia" w:cstheme="minorEastAsia"/>
                <w:szCs w:val="32"/>
              </w:rPr>
              <w:t>）—</w:t>
            </w:r>
            <w:r>
              <w:rPr>
                <w:rFonts w:hint="eastAsia" w:hAnsi="宋体" w:cs="宋体"/>
                <w:szCs w:val="32"/>
                <w:shd w:val="clear" w:color="auto" w:fill="FFFFFF"/>
                <w:lang w:bidi="ar"/>
              </w:rPr>
              <w:t>湘鄂赣省苏维埃政府旧址（</w:t>
            </w:r>
            <w:r>
              <w:rPr>
                <w:rFonts w:hint="eastAsia" w:hAnsi="宋体" w:cs="宋体"/>
                <w:szCs w:val="32"/>
                <w:shd w:val="clear" w:color="auto" w:fill="FFFFFF"/>
              </w:rPr>
              <w:t>棋坪镇</w:t>
            </w:r>
            <w:r>
              <w:rPr>
                <w:rFonts w:hint="eastAsia" w:hAnsi="宋体" w:cs="宋体"/>
                <w:kern w:val="0"/>
                <w:szCs w:val="32"/>
                <w:lang w:bidi="ar"/>
              </w:rPr>
              <w:t>）等革命</w:t>
            </w:r>
            <w:r>
              <w:rPr>
                <w:rFonts w:hint="eastAsia" w:hAnsi="宋体" w:cs="宋体"/>
                <w:szCs w:val="32"/>
                <w:shd w:val="clear" w:color="auto" w:fill="FFFFFF"/>
              </w:rPr>
              <w:t>文物红色主题旅游线路，</w:t>
            </w:r>
            <w:r>
              <w:rPr>
                <w:rFonts w:hint="eastAsia" w:hAnsi="宋体" w:cs="宋体"/>
                <w:spacing w:val="-11"/>
                <w:szCs w:val="32"/>
              </w:rPr>
              <w:t>培育以革命文物为支撑的红色</w:t>
            </w:r>
            <w:r>
              <w:rPr>
                <w:rFonts w:hint="eastAsia" w:hAnsi="宋体" w:cs="宋体"/>
                <w:spacing w:val="-4"/>
                <w:szCs w:val="32"/>
              </w:rPr>
              <w:t>旅游品</w:t>
            </w:r>
            <w:r>
              <w:rPr>
                <w:rFonts w:hint="eastAsia" w:hAnsi="宋体" w:cs="宋体"/>
                <w:spacing w:val="-3"/>
                <w:szCs w:val="32"/>
              </w:rPr>
              <w:t>牌</w:t>
            </w:r>
            <w:r>
              <w:rPr>
                <w:rFonts w:hint="eastAsia" w:hAnsi="宋体" w:cs="宋体"/>
                <w:spacing w:val="-2"/>
                <w:szCs w:val="32"/>
              </w:rPr>
              <w:t>。</w:t>
            </w:r>
          </w:p>
          <w:p>
            <w:pPr>
              <w:pStyle w:val="14"/>
              <w:spacing w:before="0" w:beforeAutospacing="0" w:after="0" w:afterAutospacing="0" w:line="600" w:lineRule="exact"/>
              <w:ind w:firstLine="635" w:firstLineChars="200"/>
              <w:jc w:val="both"/>
              <w:rPr>
                <w:rFonts w:hAnsi="宋体" w:cs="宋体"/>
                <w:sz w:val="32"/>
                <w:szCs w:val="32"/>
                <w:shd w:val="clear" w:color="auto" w:fill="FFFFFF"/>
              </w:rPr>
            </w:pPr>
            <w:r>
              <w:rPr>
                <w:rFonts w:hint="eastAsia" w:hAnsi="宋体" w:cs="宋体"/>
                <w:b/>
                <w:bCs/>
                <w:spacing w:val="-2"/>
                <w:sz w:val="32"/>
                <w:szCs w:val="32"/>
              </w:rPr>
              <w:t>建设秋收起义文化公园。</w:t>
            </w:r>
            <w:r>
              <w:rPr>
                <w:rFonts w:hint="eastAsia" w:hAnsi="宋体" w:cs="宋体"/>
                <w:spacing w:val="-2"/>
                <w:sz w:val="32"/>
                <w:szCs w:val="32"/>
              </w:rPr>
              <w:t>整体规划建设</w:t>
            </w:r>
            <w:r>
              <w:rPr>
                <w:rFonts w:hAnsiTheme="majorEastAsia" w:cstheme="majorEastAsia"/>
                <w:sz w:val="32"/>
                <w:szCs w:val="32"/>
                <w:shd w:val="clear" w:color="auto" w:fill="FFFFFF"/>
              </w:rPr>
              <w:t>湘赣边界</w:t>
            </w:r>
            <w:r>
              <w:rPr>
                <w:rFonts w:hint="eastAsia" w:hAnsiTheme="majorEastAsia" w:cstheme="majorEastAsia"/>
                <w:sz w:val="32"/>
                <w:szCs w:val="32"/>
                <w:shd w:val="clear" w:color="auto" w:fill="FFFFFF"/>
              </w:rPr>
              <w:t>秋收起义前敌委员会旧址、西湖公园和秋收起义铜鼓纪念馆，优化内部观览线路，改造秋收起义铜鼓纪念馆及周边建筑立面外观，建设秋收起义纪念广场景观及雕塑工程，新建VR体验馆、游客服务中心及配套设施，衬</w:t>
            </w:r>
            <w:r>
              <w:rPr>
                <w:rFonts w:hint="eastAsia" w:hAnsi="宋体" w:cs="宋体"/>
                <w:sz w:val="32"/>
                <w:szCs w:val="32"/>
                <w:shd w:val="clear" w:color="auto" w:fill="FFFFFF"/>
              </w:rPr>
              <w:t>托其重大革命历史事件氛围，提升公园景观，形成比较完善的以革命文物为主题的文化旅游景区。</w:t>
            </w:r>
          </w:p>
          <w:p>
            <w:pPr>
              <w:pStyle w:val="14"/>
              <w:spacing w:before="0" w:beforeAutospacing="0" w:after="0" w:afterAutospacing="0" w:line="600" w:lineRule="exact"/>
              <w:ind w:firstLine="603" w:firstLineChars="200"/>
              <w:jc w:val="both"/>
            </w:pPr>
            <w:r>
              <w:rPr>
                <w:rFonts w:hint="eastAsia" w:hAnsiTheme="majorEastAsia" w:cstheme="majorEastAsia"/>
                <w:b/>
                <w:bCs/>
                <w:spacing w:val="-10"/>
                <w:sz w:val="32"/>
                <w:szCs w:val="32"/>
              </w:rPr>
              <w:t>提升红色旅游设施水平。</w:t>
            </w:r>
            <w:r>
              <w:rPr>
                <w:rFonts w:hint="eastAsia" w:hAnsiTheme="majorEastAsia" w:cstheme="majorEastAsia"/>
                <w:spacing w:val="-10"/>
                <w:sz w:val="32"/>
                <w:szCs w:val="32"/>
              </w:rPr>
              <w:t>围绕建</w:t>
            </w:r>
            <w:r>
              <w:rPr>
                <w:rFonts w:hint="eastAsia" w:hAnsiTheme="majorEastAsia" w:cstheme="majorEastAsia"/>
                <w:spacing w:val="-6"/>
                <w:sz w:val="32"/>
                <w:szCs w:val="32"/>
              </w:rPr>
              <w:t>设秋收起义纪念地、湘鄂赣根据地红色景区，</w:t>
            </w:r>
            <w:r>
              <w:rPr>
                <w:rFonts w:hint="eastAsia" w:hAnsiTheme="majorEastAsia" w:cstheme="majorEastAsia"/>
                <w:spacing w:val="-5"/>
                <w:sz w:val="32"/>
                <w:szCs w:val="32"/>
              </w:rPr>
              <w:t>优先配套</w:t>
            </w:r>
            <w:r>
              <w:rPr>
                <w:rFonts w:hint="eastAsia" w:hAnsiTheme="majorEastAsia" w:cstheme="majorEastAsia"/>
                <w:spacing w:val="-6"/>
                <w:sz w:val="32"/>
                <w:szCs w:val="32"/>
              </w:rPr>
              <w:t>革命文物集中</w:t>
            </w:r>
            <w:r>
              <w:rPr>
                <w:rFonts w:hint="eastAsia" w:hAnsiTheme="majorEastAsia" w:cstheme="majorEastAsia"/>
                <w:spacing w:val="-3"/>
                <w:sz w:val="32"/>
                <w:szCs w:val="32"/>
              </w:rPr>
              <w:t>点等周边市政设施和旅游服务</w:t>
            </w:r>
            <w:r>
              <w:rPr>
                <w:rFonts w:hint="eastAsia" w:hAnsiTheme="majorEastAsia" w:cstheme="majorEastAsia"/>
                <w:spacing w:val="1"/>
                <w:sz w:val="32"/>
                <w:szCs w:val="32"/>
              </w:rPr>
              <w:t>设施，</w:t>
            </w:r>
            <w:r>
              <w:rPr>
                <w:rFonts w:hint="eastAsia" w:hAnsiTheme="majorEastAsia" w:cstheme="majorEastAsia"/>
                <w:spacing w:val="-8"/>
                <w:sz w:val="32"/>
                <w:szCs w:val="32"/>
              </w:rPr>
              <w:t>重点推进革命文物开放展示点与主要交通</w:t>
            </w:r>
            <w:r>
              <w:rPr>
                <w:rFonts w:hint="eastAsia" w:hAnsiTheme="majorEastAsia" w:cstheme="majorEastAsia"/>
                <w:spacing w:val="-16"/>
                <w:sz w:val="32"/>
                <w:szCs w:val="32"/>
              </w:rPr>
              <w:t>干线</w:t>
            </w:r>
            <w:r>
              <w:rPr>
                <w:rFonts w:hint="eastAsia" w:hAnsiTheme="majorEastAsia" w:cstheme="majorEastAsia"/>
                <w:spacing w:val="-12"/>
                <w:sz w:val="32"/>
                <w:szCs w:val="32"/>
              </w:rPr>
              <w:t>的</w:t>
            </w:r>
            <w:r>
              <w:rPr>
                <w:rFonts w:hint="eastAsia" w:hAnsiTheme="majorEastAsia" w:cstheme="majorEastAsia"/>
                <w:spacing w:val="-8"/>
                <w:sz w:val="32"/>
                <w:szCs w:val="32"/>
              </w:rPr>
              <w:t>连接，支持红色旅游大巴以及</w:t>
            </w:r>
            <w:r>
              <w:rPr>
                <w:rFonts w:hint="eastAsia" w:hAnsi="宋体" w:cs="宋体"/>
                <w:sz w:val="32"/>
                <w:szCs w:val="32"/>
              </w:rPr>
              <w:t>红色公交发展，实现重要革命文物点全部可达、可视。</w:t>
            </w:r>
          </w:p>
        </w:tc>
      </w:tr>
    </w:tbl>
    <w:p>
      <w:pPr>
        <w:pStyle w:val="14"/>
        <w:spacing w:before="0" w:beforeAutospacing="0" w:after="0" w:afterAutospacing="0" w:line="600" w:lineRule="exact"/>
        <w:ind w:firstLine="640" w:firstLineChars="200"/>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七、工作机制创新工程</w:t>
      </w:r>
    </w:p>
    <w:p>
      <w:pPr>
        <w:spacing w:line="600" w:lineRule="exact"/>
        <w:ind w:firstLine="643" w:firstLineChars="200"/>
        <w:rPr>
          <w:rFonts w:asciiTheme="majorEastAsia" w:hAnsiTheme="majorEastAsia" w:eastAsiaTheme="majorEastAsia" w:cstheme="majorEastAsia"/>
          <w:kern w:val="0"/>
          <w:szCs w:val="32"/>
          <w:lang w:bidi="ar"/>
        </w:rPr>
      </w:pPr>
      <w:r>
        <w:rPr>
          <w:rFonts w:hint="eastAsia" w:ascii="楷体_GB2312" w:eastAsia="楷体_GB2312" w:hAnsiTheme="majorEastAsia" w:cstheme="majorEastAsia"/>
          <w:b/>
          <w:bCs/>
          <w:szCs w:val="32"/>
        </w:rPr>
        <w:t>（一）探索非国有革命旧址保护利用途径。</w:t>
      </w:r>
      <w:r>
        <w:rPr>
          <w:rFonts w:hint="eastAsia" w:hAnsi="宋体" w:cs="宋体"/>
          <w:kern w:val="0"/>
          <w:szCs w:val="32"/>
          <w:lang w:bidi="ar"/>
        </w:rPr>
        <w:t xml:space="preserve">落实非国有革命旧址管理保护责任，与革命旧址产权所有人签订管理保护协议，鼓励产权所有人依法依规履行文物保管员与讲解员的职责，实现“两员合一”，参与革命文物的保护利用。依法通过流转、征收、购买等方式取得重要革命文物的使用权、所有权。 </w:t>
      </w:r>
    </w:p>
    <w:p>
      <w:pPr>
        <w:spacing w:line="600" w:lineRule="exact"/>
        <w:ind w:firstLine="643" w:firstLineChars="200"/>
        <w:rPr>
          <w:rFonts w:asciiTheme="majorEastAsia" w:hAnsiTheme="majorEastAsia" w:eastAsiaTheme="majorEastAsia" w:cstheme="majorEastAsia"/>
          <w:szCs w:val="32"/>
          <w:shd w:val="clear" w:color="auto" w:fill="FFFFFF"/>
        </w:rPr>
      </w:pPr>
      <w:r>
        <w:rPr>
          <w:rFonts w:hint="eastAsia" w:ascii="楷体_GB2312" w:eastAsia="楷体_GB2312" w:hAnsiTheme="majorEastAsia" w:cstheme="majorEastAsia"/>
          <w:b/>
          <w:bCs/>
          <w:szCs w:val="32"/>
        </w:rPr>
        <w:t>（二）探索低级别革命文物保护利用方式。</w:t>
      </w:r>
      <w:r>
        <w:rPr>
          <w:rFonts w:hint="eastAsia" w:hAnsi="宋体" w:cs="宋体"/>
          <w:kern w:val="0"/>
          <w:szCs w:val="32"/>
          <w:lang w:bidi="ar"/>
        </w:rPr>
        <w:t>加大低级别革命文物保护经费投入，纪检、组织、宣传、发展与改革、教育、农村农业、住房和城乡建设、交通运输等多部门协同开展低级别革命文物保护利用工作。推进革命文物保护利用与乡村振兴、城市更新相结合，将革命文物保护利用纳入红色名村、乡村旅游点、农村文化广场建设和城市景观改造提升的规划和项目。</w:t>
      </w:r>
    </w:p>
    <w:p>
      <w:pPr>
        <w:spacing w:line="600" w:lineRule="exact"/>
        <w:ind w:firstLine="643" w:firstLineChars="200"/>
        <w:rPr>
          <w:rFonts w:asciiTheme="majorEastAsia" w:hAnsiTheme="majorEastAsia" w:eastAsiaTheme="majorEastAsia" w:cstheme="majorEastAsia"/>
          <w:b/>
          <w:bCs/>
          <w:szCs w:val="32"/>
        </w:rPr>
      </w:pPr>
      <w:r>
        <w:rPr>
          <w:rFonts w:hint="eastAsia" w:ascii="楷体_GB2312" w:eastAsia="楷体_GB2312" w:hAnsiTheme="majorEastAsia" w:cstheme="majorEastAsia"/>
          <w:b/>
          <w:bCs/>
          <w:szCs w:val="32"/>
        </w:rPr>
        <w:t>（三）建立不可移动文物保存现状定期评估制度。</w:t>
      </w:r>
      <w:r>
        <w:rPr>
          <w:rFonts w:hint="eastAsia" w:hAnsi="宋体" w:cs="宋体"/>
          <w:kern w:val="0"/>
          <w:szCs w:val="32"/>
          <w:lang w:bidi="ar"/>
        </w:rPr>
        <w:t>每年开展一次全县不可移动文物科学评估工作，推动注重抢救性保护向抢救性与预防性保护并重转变</w:t>
      </w:r>
      <w:r>
        <w:rPr>
          <w:rFonts w:hint="eastAsia" w:hAnsi="宋体" w:cs="宋体"/>
          <w:kern w:val="0"/>
          <w:szCs w:val="32"/>
          <w:lang w:eastAsia="zh-CN" w:bidi="ar"/>
        </w:rPr>
        <w:t>，</w:t>
      </w:r>
      <w:r>
        <w:rPr>
          <w:rFonts w:hint="eastAsia" w:hAnsi="宋体" w:cs="宋体"/>
          <w:kern w:val="0"/>
          <w:szCs w:val="32"/>
          <w:lang w:bidi="ar"/>
        </w:rPr>
        <w:t>注重文物本体保护向文物本体与周边环境、文化生态的整体保护转变，全面掌握不可移动文物基本情况，分类施策，一处一策，提出保护对策。</w:t>
      </w:r>
    </w:p>
    <w:p>
      <w:pPr>
        <w:pStyle w:val="8"/>
        <w:spacing w:line="600" w:lineRule="exact"/>
        <w:ind w:firstLine="643" w:firstLineChars="200"/>
        <w:rPr>
          <w:rFonts w:hint="eastAsia" w:ascii="仿宋_GB2312" w:hAnsi="宋体" w:eastAsia="仿宋_GB2312" w:cs="宋体"/>
          <w:kern w:val="0"/>
          <w:sz w:val="32"/>
          <w:szCs w:val="32"/>
          <w:lang w:bidi="ar"/>
        </w:rPr>
      </w:pPr>
      <w:r>
        <w:rPr>
          <w:rFonts w:hint="eastAsia" w:ascii="楷体_GB2312" w:eastAsia="楷体_GB2312" w:hAnsiTheme="majorEastAsia" w:cstheme="majorEastAsia"/>
          <w:b/>
          <w:bCs/>
          <w:sz w:val="32"/>
          <w:szCs w:val="32"/>
        </w:rPr>
        <w:t>（四）深化赣鄂湘区域合作。</w:t>
      </w:r>
      <w:r>
        <w:rPr>
          <w:rFonts w:hint="eastAsia" w:ascii="仿宋_GB2312" w:eastAsia="仿宋_GB2312" w:hAnsiTheme="majorEastAsia" w:cstheme="majorEastAsia"/>
          <w:kern w:val="0"/>
          <w:sz w:val="32"/>
          <w:szCs w:val="32"/>
          <w:lang w:bidi="ar"/>
        </w:rPr>
        <w:t>加强与湖南</w:t>
      </w:r>
      <w:r>
        <w:rPr>
          <w:rFonts w:hint="eastAsia" w:ascii="仿宋_GB2312" w:hAnsi="宋体" w:eastAsia="仿宋_GB2312" w:cs="宋体"/>
          <w:sz w:val="32"/>
          <w:szCs w:val="32"/>
        </w:rPr>
        <w:t>浏阳市、平江县和湖北通城县、崇阳县等市县开展</w:t>
      </w:r>
      <w:r>
        <w:rPr>
          <w:rFonts w:hint="eastAsia" w:ascii="仿宋_GB2312" w:eastAsia="仿宋_GB2312" w:hAnsiTheme="majorEastAsia" w:cstheme="majorEastAsia"/>
          <w:kern w:val="0"/>
          <w:sz w:val="32"/>
          <w:szCs w:val="32"/>
          <w:lang w:bidi="ar"/>
        </w:rPr>
        <w:t>革命文物保护利用合作，重点推进赣鄂湘区域红色文化旅游融合发展、基础设施互联互通规划衔接，深度开展技术保护</w:t>
      </w:r>
      <w:r>
        <w:rPr>
          <w:rFonts w:hint="eastAsia" w:ascii="仿宋_GB2312" w:hAnsi="宋体" w:eastAsia="仿宋_GB2312" w:cs="宋体"/>
          <w:kern w:val="0"/>
          <w:sz w:val="32"/>
          <w:szCs w:val="32"/>
          <w:lang w:bidi="ar"/>
        </w:rPr>
        <w:t>、创新运用、人才培养等方面的交流合作，利用好铜鼓作为</w:t>
      </w:r>
      <w:r>
        <w:rPr>
          <w:rFonts w:hint="eastAsia" w:ascii="仿宋_GB2312" w:hAnsi="宋体" w:eastAsia="仿宋_GB2312" w:cs="宋体"/>
          <w:sz w:val="32"/>
          <w:szCs w:val="32"/>
        </w:rPr>
        <w:t>湘赣边红色文化旅游合作共同体长期秘书长单位、</w:t>
      </w:r>
      <w:r>
        <w:rPr>
          <w:rFonts w:hint="eastAsia" w:ascii="仿宋_GB2312" w:hAnsi="宋体" w:eastAsia="仿宋_GB2312" w:cs="宋体"/>
          <w:kern w:val="0"/>
          <w:sz w:val="32"/>
          <w:szCs w:val="32"/>
          <w:lang w:bidi="ar"/>
        </w:rPr>
        <w:t>秋收起义“一线九馆”党性教育培训交流机制，做</w:t>
      </w:r>
      <w:r>
        <w:rPr>
          <w:rFonts w:hint="eastAsia" w:ascii="仿宋_GB2312" w:hAnsi="宋体" w:eastAsia="仿宋_GB2312" w:cs="宋体"/>
          <w:sz w:val="32"/>
          <w:szCs w:val="32"/>
        </w:rPr>
        <w:t>好双方革命文物保护利用交流合作，</w:t>
      </w:r>
      <w:r>
        <w:rPr>
          <w:rFonts w:hint="eastAsia" w:ascii="仿宋_GB2312" w:hAnsi="宋体" w:eastAsia="仿宋_GB2312" w:cs="宋体"/>
          <w:kern w:val="0"/>
          <w:sz w:val="32"/>
          <w:szCs w:val="32"/>
          <w:lang w:bidi="ar"/>
        </w:rPr>
        <w:t>做大做强铜鼓红色教育培训。</w:t>
      </w:r>
    </w:p>
    <w:p>
      <w:pPr>
        <w:rPr>
          <w:rFonts w:hint="eastAsia" w:ascii="仿宋_GB2312" w:hAnsi="宋体" w:eastAsia="仿宋_GB2312" w:cs="宋体"/>
          <w:kern w:val="0"/>
          <w:sz w:val="32"/>
          <w:szCs w:val="32"/>
          <w:lang w:bidi="ar"/>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tcPr>
          <w:p>
            <w:pPr>
              <w:pStyle w:val="2"/>
              <w:spacing w:after="0" w:line="600" w:lineRule="exact"/>
              <w:jc w:val="center"/>
              <w:rPr>
                <w:rFonts w:ascii="黑体" w:hAnsi="黑体" w:eastAsia="黑体"/>
                <w:b/>
                <w:szCs w:val="32"/>
                <w:lang w:bidi="ar"/>
              </w:rPr>
            </w:pPr>
            <w:r>
              <w:rPr>
                <w:rStyle w:val="21"/>
                <w:rFonts w:hint="eastAsia" w:ascii="黑体" w:hAnsi="黑体" w:eastAsia="黑体" w:cs="黑体"/>
                <w:b w:val="0"/>
                <w:szCs w:val="32"/>
              </w:rPr>
              <w:t xml:space="preserve">专栏5    </w:t>
            </w:r>
            <w:r>
              <w:rPr>
                <w:rStyle w:val="21"/>
                <w:rFonts w:eastAsia="黑体" w:cs="Calibri"/>
                <w:b w:val="0"/>
                <w:szCs w:val="32"/>
              </w:rPr>
              <w:t> </w:t>
            </w:r>
            <w:r>
              <w:rPr>
                <w:rStyle w:val="21"/>
                <w:rFonts w:hint="eastAsia" w:ascii="黑体" w:hAnsi="黑体" w:eastAsia="黑体" w:cs="黑体"/>
                <w:b w:val="0"/>
                <w:szCs w:val="32"/>
              </w:rPr>
              <w:t>深化</w:t>
            </w:r>
            <w:r>
              <w:rPr>
                <w:rStyle w:val="21"/>
                <w:rFonts w:hint="eastAsia" w:ascii="黑体" w:hAnsi="黑体" w:eastAsia="黑体"/>
                <w:b w:val="0"/>
                <w:szCs w:val="32"/>
              </w:rPr>
              <w:t>赣鄂湘区域合作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tcPr>
          <w:p>
            <w:pPr>
              <w:pStyle w:val="14"/>
              <w:shd w:val="clear" w:color="auto" w:fill="FFFFFF"/>
              <w:spacing w:before="0" w:beforeAutospacing="0" w:after="0" w:afterAutospacing="0" w:line="600" w:lineRule="exact"/>
              <w:ind w:firstLine="643" w:firstLineChars="200"/>
              <w:jc w:val="both"/>
              <w:rPr>
                <w:rFonts w:hAnsi="宋体" w:cs="宋体"/>
                <w:sz w:val="32"/>
                <w:szCs w:val="32"/>
              </w:rPr>
            </w:pPr>
            <w:r>
              <w:rPr>
                <w:rFonts w:hint="eastAsia" w:hAnsi="宋体" w:cs="宋体"/>
                <w:b/>
                <w:bCs/>
                <w:sz w:val="32"/>
                <w:szCs w:val="32"/>
              </w:rPr>
              <w:t>推动创建湘赣边国家红色旅游融合发展示范区。</w:t>
            </w:r>
            <w:r>
              <w:rPr>
                <w:rFonts w:hint="eastAsia" w:hAnsi="宋体" w:cs="宋体"/>
                <w:sz w:val="32"/>
                <w:szCs w:val="32"/>
                <w:shd w:val="clear" w:color="auto" w:fill="FFFFFF"/>
              </w:rPr>
              <w:t>全面落实《</w:t>
            </w:r>
            <w:r>
              <w:rPr>
                <w:rFonts w:hint="eastAsia" w:hAnsi="宋体" w:cs="宋体"/>
                <w:sz w:val="32"/>
                <w:szCs w:val="32"/>
              </w:rPr>
              <w:t>湘赣边红色文化旅游合作共同体章程</w:t>
            </w:r>
            <w:r>
              <w:rPr>
                <w:rFonts w:hint="eastAsia" w:hAnsi="宋体" w:cs="宋体"/>
                <w:sz w:val="32"/>
                <w:szCs w:val="32"/>
                <w:shd w:val="clear" w:color="auto" w:fill="FFFFFF"/>
              </w:rPr>
              <w:t>》，</w:t>
            </w:r>
            <w:r>
              <w:rPr>
                <w:rFonts w:hint="eastAsia" w:hAnsi="宋体" w:cs="宋体"/>
                <w:sz w:val="32"/>
                <w:szCs w:val="32"/>
                <w:lang w:val="zh-CN"/>
              </w:rPr>
              <w:t>以秋收起义等重大历史事件为核心，推动完善旅游基础设施和公共服务水平，</w:t>
            </w:r>
            <w:r>
              <w:rPr>
                <w:rFonts w:hint="eastAsia" w:hAnsi="宋体" w:cs="宋体"/>
                <w:sz w:val="32"/>
                <w:szCs w:val="32"/>
                <w:shd w:val="clear" w:color="auto" w:fill="FFFFFF"/>
              </w:rPr>
              <w:t>联动开发红色旅游产品，</w:t>
            </w:r>
            <w:r>
              <w:rPr>
                <w:rFonts w:hint="eastAsia" w:hAnsi="宋体" w:cs="宋体"/>
                <w:sz w:val="32"/>
                <w:szCs w:val="32"/>
              </w:rPr>
              <w:t xml:space="preserve">举办红色文化旅游节，开展“文化+旅游+教育”的红色研学游。 </w:t>
            </w:r>
          </w:p>
          <w:p>
            <w:pPr>
              <w:pStyle w:val="14"/>
              <w:shd w:val="clear" w:color="auto" w:fill="FFFFFF"/>
              <w:spacing w:before="0" w:beforeAutospacing="0" w:after="0" w:afterAutospacing="0" w:line="600" w:lineRule="exact"/>
              <w:ind w:firstLine="643" w:firstLineChars="200"/>
              <w:jc w:val="both"/>
              <w:rPr>
                <w:rStyle w:val="37"/>
                <w:rFonts w:hAnsi="宋体" w:cs="宋体"/>
                <w:color w:val="auto"/>
                <w:spacing w:val="11"/>
                <w:szCs w:val="32"/>
              </w:rPr>
            </w:pPr>
            <w:r>
              <w:rPr>
                <w:rFonts w:hint="eastAsia" w:hAnsi="宋体" w:cs="宋体"/>
                <w:b/>
                <w:bCs/>
                <w:sz w:val="32"/>
                <w:szCs w:val="32"/>
              </w:rPr>
              <w:t>推动加强赣鄂湘区域旅游业协作。</w:t>
            </w:r>
            <w:r>
              <w:rPr>
                <w:rFonts w:hint="eastAsia" w:hAnsi="宋体" w:cs="宋体"/>
                <w:sz w:val="32"/>
                <w:szCs w:val="32"/>
              </w:rPr>
              <w:t>加强与湖南省平江县、浏阳市，湖北通城县和崇阳县等市县文旅行政主管部门的交流与合作，在举办文化旅游节会，统一文化旅游品牌、规划线路、产品开发、宣传促销、监管服务等方面进行重点协作，</w:t>
            </w:r>
            <w:r>
              <w:rPr>
                <w:rFonts w:hint="eastAsia" w:hAnsi="宋体" w:cs="宋体"/>
                <w:sz w:val="32"/>
                <w:szCs w:val="32"/>
                <w:shd w:val="clear" w:color="auto" w:fill="FFFFFF"/>
              </w:rPr>
              <w:t>共推线路、共拓市场、共建品牌，</w:t>
            </w:r>
            <w:r>
              <w:rPr>
                <w:rStyle w:val="37"/>
                <w:rFonts w:hint="eastAsia" w:hAnsi="宋体" w:cs="宋体"/>
                <w:color w:val="auto"/>
                <w:szCs w:val="32"/>
              </w:rPr>
              <w:t>构建资源互享、客源互送、线路互推、</w:t>
            </w:r>
            <w:r>
              <w:rPr>
                <w:rFonts w:hint="eastAsia" w:hAnsi="宋体" w:cs="宋体"/>
                <w:sz w:val="32"/>
                <w:szCs w:val="32"/>
                <w:shd w:val="clear" w:color="auto" w:fill="FFFFFF"/>
              </w:rPr>
              <w:t>互联互通</w:t>
            </w:r>
            <w:r>
              <w:rPr>
                <w:rStyle w:val="37"/>
                <w:rFonts w:hint="eastAsia" w:hAnsi="宋体" w:cs="宋体"/>
                <w:color w:val="auto"/>
                <w:szCs w:val="32"/>
              </w:rPr>
              <w:t>的旅游合作发展格</w:t>
            </w:r>
            <w:r>
              <w:rPr>
                <w:rFonts w:hint="eastAsia" w:hAnsi="宋体" w:cs="宋体"/>
                <w:spacing w:val="11"/>
                <w:sz w:val="32"/>
                <w:szCs w:val="32"/>
              </w:rPr>
              <w:t>局</w:t>
            </w:r>
            <w:r>
              <w:rPr>
                <w:rStyle w:val="37"/>
                <w:rFonts w:hint="eastAsia" w:hAnsi="宋体" w:cs="宋体"/>
                <w:color w:val="auto"/>
                <w:spacing w:val="11"/>
                <w:szCs w:val="32"/>
              </w:rPr>
              <w:t>。</w:t>
            </w:r>
          </w:p>
          <w:p>
            <w:pPr>
              <w:pStyle w:val="14"/>
              <w:shd w:val="clear" w:color="auto" w:fill="FFFFFF"/>
              <w:spacing w:before="0" w:beforeAutospacing="0" w:after="0" w:afterAutospacing="0" w:line="600" w:lineRule="exact"/>
              <w:ind w:firstLine="643" w:firstLineChars="200"/>
              <w:jc w:val="both"/>
            </w:pPr>
            <w:r>
              <w:rPr>
                <w:rFonts w:hint="eastAsia" w:hAnsi="宋体" w:cs="宋体"/>
                <w:b/>
                <w:bCs/>
                <w:sz w:val="32"/>
                <w:szCs w:val="32"/>
              </w:rPr>
              <w:t>合力打造赣鄂湘区域旅游项目。</w:t>
            </w:r>
            <w:r>
              <w:rPr>
                <w:rFonts w:hint="eastAsia" w:hAnsiTheme="minorEastAsia" w:cstheme="minorEastAsia"/>
                <w:sz w:val="32"/>
                <w:szCs w:val="32"/>
              </w:rPr>
              <w:t>发起联合建立旅游项目库，构建联市场、联客源、联产品、联数据的合作平台，吸引湖南、湖北社会资本参与铜鼓旅游项目开发。打造铜鼓—文家市—安源、铜鼓—修水—通城精品线路。</w:t>
            </w:r>
          </w:p>
        </w:tc>
      </w:tr>
    </w:tbl>
    <w:p>
      <w:pPr>
        <w:spacing w:line="600" w:lineRule="exact"/>
        <w:rPr>
          <w:lang w:bidi="ar"/>
        </w:rPr>
      </w:pPr>
    </w:p>
    <w:p>
      <w:pPr>
        <w:pStyle w:val="14"/>
        <w:spacing w:before="0" w:beforeAutospacing="0" w:after="0" w:afterAutospacing="0" w:line="600" w:lineRule="exact"/>
        <w:ind w:firstLine="640" w:firstLineChars="200"/>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八、安全监督法治工程</w:t>
      </w:r>
    </w:p>
    <w:p>
      <w:pPr>
        <w:spacing w:line="600" w:lineRule="exact"/>
        <w:ind w:firstLine="643" w:firstLineChars="200"/>
        <w:rPr>
          <w:rFonts w:hAnsiTheme="minorEastAsia" w:cstheme="minorEastAsia"/>
          <w:szCs w:val="32"/>
        </w:rPr>
      </w:pPr>
      <w:r>
        <w:rPr>
          <w:rFonts w:hint="eastAsia" w:ascii="楷体_GB2312" w:eastAsia="楷体_GB2312" w:hAnsiTheme="majorEastAsia" w:cstheme="majorEastAsia"/>
          <w:b/>
          <w:bCs/>
          <w:szCs w:val="32"/>
        </w:rPr>
        <w:t>（一）坚持依法保护利用。</w:t>
      </w:r>
      <w:r>
        <w:rPr>
          <w:rFonts w:hint="eastAsia" w:hAnsiTheme="minorEastAsia" w:cstheme="minorEastAsia"/>
          <w:szCs w:val="32"/>
        </w:rPr>
        <w:t xml:space="preserve">严格落实《中华人民共和国文物保护法》《江西省革命文物保护条例》等法律法规中有关文物和革命文物的保护管理规定，依法加强对革命文物的保护管理和利用。加大执法力度，实行重大文物事故责任追究制度，加强革命文物保护领域的执纪问责与公益诉讼，杜绝法人违法。 </w:t>
      </w:r>
    </w:p>
    <w:p>
      <w:pPr>
        <w:spacing w:line="600" w:lineRule="exact"/>
        <w:ind w:firstLine="643" w:firstLineChars="200"/>
        <w:rPr>
          <w:rFonts w:asciiTheme="majorEastAsia" w:hAnsiTheme="majorEastAsia" w:eastAsiaTheme="majorEastAsia" w:cstheme="majorEastAsia"/>
          <w:szCs w:val="32"/>
        </w:rPr>
      </w:pPr>
      <w:r>
        <w:rPr>
          <w:rFonts w:hint="eastAsia" w:ascii="楷体_GB2312" w:eastAsia="楷体_GB2312" w:hAnsiTheme="majorEastAsia" w:cstheme="majorEastAsia"/>
          <w:b/>
          <w:bCs/>
          <w:szCs w:val="32"/>
        </w:rPr>
        <w:t>（二）推进文物平安工程。</w:t>
      </w:r>
      <w:r>
        <w:rPr>
          <w:rFonts w:hint="eastAsia" w:hAnsiTheme="minorEastAsia" w:cstheme="minorEastAsia"/>
          <w:szCs w:val="32"/>
        </w:rPr>
        <w:t>严格执行革命文物安全巡查制度，充分发挥县文物部门、乡镇文化站作用，对低级别文物保护单位实现全覆盖巡查。建立铜鼓县文物安全监管系统平台，对全县革命文物保护单位实现远程监管，推动文物安全与现代科技充分融合，提升安全防范智能化、信息化水平。推动北斗系统运用到监测、巡查工作中，持续做好革命文物日常养护和安全监测。</w:t>
      </w:r>
    </w:p>
    <w:p>
      <w:pPr>
        <w:spacing w:line="600" w:lineRule="exact"/>
        <w:ind w:firstLine="602"/>
        <w:rPr>
          <w:rFonts w:hAnsiTheme="minorEastAsia" w:cstheme="minorEastAsia"/>
          <w:szCs w:val="32"/>
        </w:rPr>
      </w:pPr>
      <w:r>
        <w:rPr>
          <w:rFonts w:hint="eastAsia" w:ascii="楷体_GB2312" w:eastAsia="楷体_GB2312" w:hAnsiTheme="majorEastAsia" w:cstheme="majorEastAsia"/>
          <w:b/>
          <w:bCs/>
          <w:szCs w:val="32"/>
        </w:rPr>
        <w:t>（三）</w:t>
      </w:r>
      <w:r>
        <w:rPr>
          <w:rFonts w:hint="eastAsia" w:ascii="楷体_GB2312" w:eastAsia="楷体_GB2312" w:hAnsiTheme="majorEastAsia" w:cstheme="majorEastAsia"/>
          <w:b/>
          <w:bCs/>
          <w:kern w:val="0"/>
          <w:szCs w:val="32"/>
          <w:lang w:bidi="ar"/>
        </w:rPr>
        <w:t>建立文物安全长效机制。</w:t>
      </w:r>
      <w:r>
        <w:rPr>
          <w:rFonts w:hint="eastAsia" w:hAnsiTheme="minorEastAsia" w:cstheme="minorEastAsia"/>
          <w:szCs w:val="32"/>
        </w:rPr>
        <w:t>落实县、乡（镇）各级政府革命文物安全主体责任，将革命文物安全工作纳入各级政府年度考核评价体系。依法打击损坏</w:t>
      </w:r>
      <w:r>
        <w:rPr>
          <w:rFonts w:hint="eastAsia" w:hAnsiTheme="minorEastAsia" w:cstheme="minorEastAsia"/>
          <w:szCs w:val="32"/>
          <w:lang w:eastAsia="zh-CN"/>
        </w:rPr>
        <w:t>、</w:t>
      </w:r>
      <w:r>
        <w:rPr>
          <w:rFonts w:hint="eastAsia" w:hAnsiTheme="minorEastAsia" w:cstheme="minorEastAsia"/>
          <w:szCs w:val="32"/>
        </w:rPr>
        <w:t>破坏革命旧址的违法犯罪行为，多部门联合开展革命文物安全隐患排查整治工作，做好革命文物安全常态化管理。</w:t>
      </w:r>
    </w:p>
    <w:p>
      <w:pPr>
        <w:pStyle w:val="2"/>
        <w:spacing w:after="0" w:line="600" w:lineRule="exact"/>
      </w:pPr>
      <w:r>
        <w:br w:type="page"/>
      </w:r>
    </w:p>
    <w:p>
      <w:pPr>
        <w:pStyle w:val="14"/>
        <w:spacing w:before="0" w:beforeAutospacing="0" w:after="0" w:afterAutospacing="0" w:line="600" w:lineRule="exact"/>
        <w:jc w:val="center"/>
        <w:rPr>
          <w:rStyle w:val="21"/>
          <w:rFonts w:ascii="黑体" w:hAnsi="黑体" w:eastAsia="黑体" w:cs="黑体"/>
          <w:sz w:val="32"/>
          <w:szCs w:val="32"/>
          <w:shd w:val="clear" w:color="auto" w:fill="FFFFFF"/>
        </w:rPr>
      </w:pPr>
      <w:r>
        <w:rPr>
          <w:rStyle w:val="21"/>
          <w:rFonts w:hint="eastAsia" w:ascii="黑体" w:hAnsi="黑体" w:eastAsia="黑体" w:cs="黑体"/>
          <w:sz w:val="32"/>
          <w:szCs w:val="32"/>
          <w:shd w:val="clear" w:color="auto" w:fill="FFFFFF"/>
        </w:rPr>
        <w:t>第五章    实 施 保 障</w:t>
      </w:r>
    </w:p>
    <w:p>
      <w:pPr>
        <w:pStyle w:val="14"/>
        <w:spacing w:before="0" w:beforeAutospacing="0" w:after="0" w:afterAutospacing="0" w:line="600" w:lineRule="exact"/>
        <w:ind w:firstLine="643"/>
        <w:rPr>
          <w:rFonts w:ascii="宋体" w:hAnsi="宋体" w:eastAsia="宋体" w:cs="宋体"/>
          <w:b/>
          <w:bCs/>
          <w:sz w:val="32"/>
          <w:szCs w:val="32"/>
          <w:shd w:val="clear" w:color="auto" w:fill="FFFFFF"/>
        </w:rPr>
      </w:pPr>
    </w:p>
    <w:p>
      <w:pPr>
        <w:pStyle w:val="14"/>
        <w:spacing w:before="0" w:beforeAutospacing="0" w:after="0" w:afterAutospacing="0" w:line="600" w:lineRule="exact"/>
        <w:ind w:firstLine="640" w:firstLineChars="200"/>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一、加强组织协调</w:t>
      </w:r>
    </w:p>
    <w:p>
      <w:pPr>
        <w:spacing w:line="600" w:lineRule="exact"/>
        <w:ind w:firstLine="598"/>
        <w:rPr>
          <w:rFonts w:ascii="宋体" w:hAnsi="宋体" w:eastAsia="宋体" w:cs="宋体"/>
          <w:szCs w:val="32"/>
        </w:rPr>
      </w:pPr>
      <w:r>
        <w:rPr>
          <w:rFonts w:hint="eastAsia" w:hAnsiTheme="minorEastAsia" w:cstheme="minorEastAsia"/>
          <w:szCs w:val="32"/>
        </w:rPr>
        <w:t>县委、县政府成立铜鼓革命文物保护利用工作领导小组，建立革命文物保护利用联席会议制度，统筹宣传、党史研究、文化和旅游、发展和改革、教育、财政、自然资源、生态环境、住房和城乡建设、交通运输、水利、农业农村、市场监管、林业、消防、退役军人事务、文物等部门资源，协调各部门发挥职能作用，强化支持政策，形成合力，落实革命文物保护利用任务。成立铜鼓县文物局，落实文物保护人员编制，建立一支精干革命文物保护队伍。县文广新旅局加强与省文物局、省各相关部门工作协同。各乡镇成立相应工作领导机构，明确主体责任和具体任务，抓好本区域革命文物保护利用组织实施工作。</w:t>
      </w:r>
    </w:p>
    <w:p>
      <w:pPr>
        <w:pStyle w:val="14"/>
        <w:spacing w:before="0" w:beforeAutospacing="0" w:after="0" w:afterAutospacing="0" w:line="600" w:lineRule="exact"/>
        <w:ind w:firstLine="640" w:firstLineChars="200"/>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二、加大资金投入</w:t>
      </w:r>
    </w:p>
    <w:p>
      <w:pPr>
        <w:numPr>
          <w:ilvl w:val="255"/>
          <w:numId w:val="0"/>
        </w:numPr>
        <w:spacing w:line="600" w:lineRule="exact"/>
        <w:ind w:firstLine="640" w:firstLineChars="200"/>
        <w:rPr>
          <w:rFonts w:hAnsiTheme="minorEastAsia" w:cstheme="minorEastAsia"/>
          <w:szCs w:val="32"/>
        </w:rPr>
      </w:pPr>
      <w:r>
        <w:rPr>
          <w:rFonts w:hint="eastAsia" w:hAnsiTheme="minorEastAsia" w:cstheme="minorEastAsia"/>
          <w:szCs w:val="32"/>
        </w:rPr>
        <w:t>革命文物保护利用经费随财政收入的增加逐年增加。积极争取国家、省、市三级有关革命文物保护利用专项资金。将省级以下文物保护单位保护的一般项目补助资金向革命文物保护项目加大倾斜。有效整合宣传、文化和旅游、发展和改革、教育、财政、城建、农业农村、自然资源等部门各类项目资金，打破部门界限，聚力实施示范县建设项目，实现革命文物保护利用和经济社会发展的有机结合。加强革命文物相关财政资金的绩效管理和监督审计，确保财政资金实现绩效目标。健全革命文物保护利用多元化投入体系，落实国家文物局《关于鼓励和支持社会力量参与文物建筑保护利用的意见》，引导社会资金参与革命文物保护利用工作。</w:t>
      </w:r>
    </w:p>
    <w:p>
      <w:pPr>
        <w:pStyle w:val="14"/>
        <w:spacing w:before="0" w:beforeAutospacing="0" w:after="0" w:afterAutospacing="0" w:line="600" w:lineRule="exact"/>
        <w:ind w:firstLine="640" w:firstLineChars="200"/>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三、建强人才队伍</w:t>
      </w:r>
    </w:p>
    <w:p>
      <w:pPr>
        <w:numPr>
          <w:ilvl w:val="255"/>
          <w:numId w:val="0"/>
        </w:numPr>
        <w:spacing w:line="600" w:lineRule="exact"/>
        <w:ind w:firstLine="640" w:firstLineChars="200"/>
        <w:rPr>
          <w:rFonts w:hAnsiTheme="minorEastAsia" w:cstheme="minorEastAsia"/>
          <w:szCs w:val="32"/>
        </w:rPr>
      </w:pPr>
      <w:r>
        <w:rPr>
          <w:rFonts w:hint="eastAsia" w:hAnsiTheme="minorEastAsia" w:cstheme="minorEastAsia"/>
          <w:szCs w:val="32"/>
        </w:rPr>
        <w:t>多渠道引进或培养高层次文物保护利用人才，</w:t>
      </w:r>
      <w:r>
        <w:rPr>
          <w:rFonts w:hint="eastAsia" w:hAnsiTheme="minorEastAsia" w:cstheme="minorEastAsia"/>
          <w:kern w:val="0"/>
          <w:szCs w:val="32"/>
          <w:lang w:bidi="ar"/>
        </w:rPr>
        <w:t>做好文物保护、修缮和展示利用等业务骨干的培训工作。通过招聘选聘、挂职学习、选派进修等方式，切实解决专业人员不足的问题。对重点文物乡镇负责人定期进行政策及专业知识培训，</w:t>
      </w:r>
      <w:r>
        <w:rPr>
          <w:rFonts w:hint="eastAsia" w:hAnsiTheme="minorEastAsia" w:cstheme="minorEastAsia"/>
          <w:szCs w:val="32"/>
          <w:shd w:val="clear" w:color="auto" w:fill="FFFFFF"/>
        </w:rPr>
        <w:t>建设一支政治强、业务精、作风好的革命文物工作队伍，</w:t>
      </w:r>
      <w:r>
        <w:rPr>
          <w:rFonts w:hint="eastAsia" w:hAnsiTheme="minorEastAsia" w:cstheme="minorEastAsia"/>
          <w:kern w:val="0"/>
          <w:szCs w:val="32"/>
          <w:lang w:bidi="ar"/>
        </w:rPr>
        <w:t>以保障文物保护利用的基层工作顺利进行。发挥基层文物保护队伍作用，深化文物安全网格化管理，构建“县、镇、村三级联动，纵向到底、横向到边、辐射全县”的文物管理新格局。培育基础研究后备人才力量，</w:t>
      </w:r>
      <w:r>
        <w:rPr>
          <w:rFonts w:hint="eastAsia" w:hAnsiTheme="minorEastAsia" w:cstheme="minorEastAsia"/>
          <w:spacing w:val="2"/>
          <w:szCs w:val="32"/>
        </w:rPr>
        <w:t>切实加强博物馆、纪念馆文物保</w:t>
      </w:r>
      <w:r>
        <w:rPr>
          <w:rFonts w:hint="eastAsia" w:hAnsiTheme="minorEastAsia" w:cstheme="minorEastAsia"/>
          <w:spacing w:val="1"/>
          <w:szCs w:val="32"/>
        </w:rPr>
        <w:t>护能力建设，使革命文物保护</w:t>
      </w:r>
      <w:r>
        <w:rPr>
          <w:rFonts w:hint="eastAsia" w:hAnsiTheme="minorEastAsia" w:cstheme="minorEastAsia"/>
          <w:spacing w:val="-3"/>
          <w:szCs w:val="32"/>
        </w:rPr>
        <w:t>管</w:t>
      </w:r>
      <w:r>
        <w:rPr>
          <w:rFonts w:hint="eastAsia" w:hAnsiTheme="minorEastAsia" w:cstheme="minorEastAsia"/>
          <w:spacing w:val="-2"/>
          <w:szCs w:val="32"/>
        </w:rPr>
        <w:t>理工作力量与其承担的职责和任务相适应。</w:t>
      </w:r>
    </w:p>
    <w:p>
      <w:pPr>
        <w:pStyle w:val="14"/>
        <w:spacing w:before="0" w:beforeAutospacing="0" w:after="0" w:afterAutospacing="0" w:line="600" w:lineRule="exact"/>
        <w:ind w:firstLine="640" w:firstLineChars="200"/>
        <w:rPr>
          <w:rFonts w:ascii="黑体" w:hAnsi="黑体" w:eastAsia="黑体" w:cs="楷体"/>
          <w:sz w:val="32"/>
          <w:szCs w:val="32"/>
          <w:shd w:val="clear" w:color="auto" w:fill="FFFFFF"/>
        </w:rPr>
      </w:pPr>
      <w:r>
        <w:rPr>
          <w:rFonts w:hint="eastAsia" w:ascii="黑体" w:hAnsi="黑体" w:eastAsia="黑体" w:cs="楷体"/>
          <w:sz w:val="32"/>
          <w:szCs w:val="32"/>
          <w:shd w:val="clear" w:color="auto" w:fill="FFFFFF"/>
        </w:rPr>
        <w:t>四、强化检查监督</w:t>
      </w:r>
    </w:p>
    <w:p>
      <w:pPr>
        <w:numPr>
          <w:ilvl w:val="255"/>
          <w:numId w:val="0"/>
        </w:numPr>
        <w:spacing w:line="600" w:lineRule="exact"/>
        <w:ind w:firstLine="640" w:firstLineChars="200"/>
        <w:rPr>
          <w:rFonts w:hAnsiTheme="minorEastAsia" w:cstheme="minorEastAsia"/>
          <w:szCs w:val="32"/>
        </w:rPr>
      </w:pPr>
      <w:r>
        <w:rPr>
          <w:rFonts w:hint="eastAsia" w:hAnsiTheme="minorEastAsia" w:cstheme="minorEastAsia"/>
          <w:szCs w:val="32"/>
        </w:rPr>
        <w:t>建立创建工作通报制度，定期对重大事项和重点工程进行跟踪评估，及时总结方案实施情况，对重点事项进行专项督导，发现重大问题及时报告。定期开展督查，通报工作进展情况，对工作推进不力的部门和个人，</w:t>
      </w:r>
      <w:r>
        <w:rPr>
          <w:rFonts w:hint="eastAsia" w:hAnsiTheme="minorEastAsia" w:cstheme="minorEastAsia"/>
          <w:szCs w:val="32"/>
          <w:lang w:eastAsia="zh-CN"/>
        </w:rPr>
        <w:t>严肃</w:t>
      </w:r>
      <w:r>
        <w:rPr>
          <w:rFonts w:hint="eastAsia" w:hAnsiTheme="minorEastAsia" w:cstheme="minorEastAsia"/>
          <w:szCs w:val="32"/>
        </w:rPr>
        <w:t>问责。实行革命文物保护利用工作目标责任制，纳入全县经济社会发展重要议程和高质量考核发展年度目标。加强与省、市文物主管部门协调，报告重大事项，协调解决革命文物保护利用过程中的重大问题。</w:t>
      </w:r>
    </w:p>
    <w:p>
      <w:pPr>
        <w:numPr>
          <w:ilvl w:val="255"/>
          <w:numId w:val="0"/>
        </w:numPr>
        <w:spacing w:line="600" w:lineRule="exact"/>
        <w:ind w:firstLine="640" w:firstLineChars="200"/>
        <w:rPr>
          <w:rFonts w:hAnsiTheme="minorEastAsia" w:cstheme="minorEastAsia"/>
          <w:szCs w:val="32"/>
        </w:rPr>
      </w:pPr>
    </w:p>
    <w:p>
      <w:pPr>
        <w:spacing w:line="560" w:lineRule="exact"/>
        <w:ind w:firstLine="643" w:firstLineChars="200"/>
        <w:rPr>
          <w:rFonts w:ascii="楷体" w:hAnsi="楷体" w:eastAsia="楷体" w:cs="楷体"/>
          <w:b/>
          <w:bCs/>
          <w:kern w:val="0"/>
          <w:szCs w:val="32"/>
          <w:lang w:bidi="ar"/>
        </w:rPr>
      </w:pPr>
    </w:p>
    <w:p>
      <w:pPr>
        <w:spacing w:line="560" w:lineRule="exact"/>
        <w:ind w:firstLine="560" w:firstLineChars="200"/>
        <w:rPr>
          <w:rFonts w:hAnsi="仿宋_GB2312" w:cs="仿宋_GB2312"/>
          <w:spacing w:val="-20"/>
          <w:szCs w:val="32"/>
        </w:rPr>
      </w:pPr>
      <w:r>
        <w:rPr>
          <w:rFonts w:hint="eastAsia" w:hAnsi="仿宋_GB2312" w:cs="仿宋_GB2312"/>
          <w:spacing w:val="-20"/>
          <w:szCs w:val="32"/>
        </w:rPr>
        <w:t>附件：1</w:t>
      </w:r>
      <w:r>
        <w:rPr>
          <w:rFonts w:hAnsi="仿宋_GB2312" w:cs="仿宋_GB2312"/>
          <w:spacing w:val="-20"/>
          <w:szCs w:val="32"/>
        </w:rPr>
        <w:t>.</w:t>
      </w:r>
      <w:r>
        <w:rPr>
          <w:rFonts w:hint="eastAsia" w:hAnsi="仿宋_GB2312" w:cs="仿宋_GB2312"/>
          <w:spacing w:val="-20"/>
          <w:szCs w:val="32"/>
        </w:rPr>
        <w:t>铜鼓县革命文物保护利用总体任务清单（2</w:t>
      </w:r>
      <w:r>
        <w:rPr>
          <w:rFonts w:hAnsi="仿宋_GB2312" w:cs="仿宋_GB2312"/>
          <w:spacing w:val="-20"/>
          <w:szCs w:val="32"/>
        </w:rPr>
        <w:t>022-2030</w:t>
      </w:r>
      <w:r>
        <w:rPr>
          <w:rFonts w:hint="eastAsia" w:hAnsi="仿宋_GB2312" w:cs="仿宋_GB2312"/>
          <w:spacing w:val="-20"/>
          <w:szCs w:val="32"/>
        </w:rPr>
        <w:t>年）</w:t>
      </w:r>
    </w:p>
    <w:p>
      <w:pPr>
        <w:spacing w:line="560" w:lineRule="exact"/>
        <w:ind w:firstLine="1370" w:firstLineChars="500"/>
        <w:rPr>
          <w:rFonts w:hAnsi="仿宋_GB2312" w:cs="仿宋_GB2312"/>
          <w:spacing w:val="-23"/>
          <w:sz w:val="32"/>
          <w:szCs w:val="32"/>
        </w:rPr>
      </w:pPr>
      <w:r>
        <w:rPr>
          <w:rFonts w:hAnsi="仿宋_GB2312" w:cs="仿宋_GB2312"/>
          <w:spacing w:val="-23"/>
          <w:sz w:val="32"/>
          <w:szCs w:val="32"/>
        </w:rPr>
        <w:t>2.</w:t>
      </w:r>
      <w:r>
        <w:rPr>
          <w:rFonts w:hint="eastAsia" w:hAnsi="仿宋_GB2312" w:cs="仿宋_GB2312"/>
          <w:spacing w:val="-23"/>
          <w:sz w:val="32"/>
          <w:szCs w:val="32"/>
        </w:rPr>
        <w:t>铜鼓县革命文物保护利用重点工程项目表（2</w:t>
      </w:r>
      <w:r>
        <w:rPr>
          <w:rFonts w:hAnsi="仿宋_GB2312" w:cs="仿宋_GB2312"/>
          <w:spacing w:val="-23"/>
          <w:sz w:val="32"/>
          <w:szCs w:val="32"/>
        </w:rPr>
        <w:t>022</w:t>
      </w:r>
      <w:r>
        <w:rPr>
          <w:rFonts w:hint="eastAsia" w:hAnsi="仿宋_GB2312" w:cs="仿宋_GB2312"/>
          <w:spacing w:val="-23"/>
          <w:sz w:val="32"/>
          <w:szCs w:val="32"/>
        </w:rPr>
        <w:t>年-</w:t>
      </w:r>
      <w:r>
        <w:rPr>
          <w:rFonts w:hAnsi="仿宋_GB2312" w:cs="仿宋_GB2312"/>
          <w:spacing w:val="-23"/>
          <w:sz w:val="32"/>
          <w:szCs w:val="32"/>
        </w:rPr>
        <w:t>2028</w:t>
      </w:r>
      <w:r>
        <w:rPr>
          <w:rFonts w:hint="eastAsia" w:hAnsi="仿宋_GB2312" w:cs="仿宋_GB2312"/>
          <w:spacing w:val="-23"/>
          <w:sz w:val="32"/>
          <w:szCs w:val="32"/>
        </w:rPr>
        <w:t>年）</w:t>
      </w:r>
    </w:p>
    <w:p>
      <w:pPr>
        <w:spacing w:line="560" w:lineRule="exact"/>
        <w:ind w:firstLine="1376" w:firstLineChars="430"/>
        <w:rPr>
          <w:rFonts w:hAnsi="仿宋_GB2312" w:cs="仿宋_GB2312"/>
          <w:szCs w:val="32"/>
        </w:rPr>
      </w:pPr>
      <w:r>
        <w:rPr>
          <w:rFonts w:hAnsi="仿宋_GB2312" w:cs="仿宋_GB2312"/>
          <w:szCs w:val="32"/>
        </w:rPr>
        <w:t>3.</w:t>
      </w:r>
      <w:r>
        <w:rPr>
          <w:rFonts w:hint="eastAsia" w:hAnsi="仿宋_GB2312" w:cs="仿宋_GB2312"/>
          <w:szCs w:val="32"/>
        </w:rPr>
        <w:t>铜鼓县不可移动革命文物保护利用清单</w:t>
      </w:r>
    </w:p>
    <w:p>
      <w:pPr>
        <w:numPr>
          <w:ilvl w:val="255"/>
          <w:numId w:val="0"/>
        </w:numPr>
        <w:spacing w:line="600" w:lineRule="exact"/>
        <w:ind w:firstLine="640" w:firstLineChars="200"/>
      </w:pPr>
      <w:r>
        <w:br w:type="page"/>
      </w:r>
    </w:p>
    <w:p>
      <w:pPr>
        <w:jc w:val="left"/>
        <w:sectPr>
          <w:pgSz w:w="11906" w:h="16838"/>
          <w:pgMar w:top="1928" w:right="1531" w:bottom="1814" w:left="1531" w:header="851" w:footer="1304" w:gutter="0"/>
          <w:pgNumType w:fmt="numberInDash"/>
          <w:cols w:space="720" w:num="1"/>
          <w:docGrid w:type="lines" w:linePitch="435" w:charSpace="0"/>
        </w:sectPr>
      </w:pPr>
    </w:p>
    <w:p>
      <w:pPr>
        <w:spacing w:line="600" w:lineRule="exact"/>
        <w:rPr>
          <w:rFonts w:hint="eastAsia" w:ascii="黑体" w:hAnsi="黑体" w:eastAsia="黑体" w:cs="黑体"/>
          <w:sz w:val="21"/>
        </w:rPr>
      </w:pPr>
      <w:r>
        <w:rPr>
          <w:rFonts w:hint="eastAsia" w:ascii="黑体" w:hAnsi="黑体" w:eastAsia="黑体" w:cs="黑体"/>
          <w:szCs w:val="32"/>
        </w:rPr>
        <w:t>附件1</w:t>
      </w:r>
    </w:p>
    <w:p>
      <w:pPr>
        <w:spacing w:line="600" w:lineRule="exact"/>
        <w:jc w:val="center"/>
        <w:rPr>
          <w:rFonts w:ascii="方正小标宋简体" w:hAnsi="黑体" w:eastAsia="方正小标宋简体" w:cs="黑体"/>
          <w:sz w:val="40"/>
          <w:szCs w:val="40"/>
        </w:rPr>
      </w:pPr>
      <w:r>
        <w:rPr>
          <w:rFonts w:hint="eastAsia" w:ascii="方正小标宋简体" w:hAnsi="黑体" w:eastAsia="方正小标宋简体" w:cs="黑体"/>
          <w:sz w:val="40"/>
          <w:szCs w:val="40"/>
        </w:rPr>
        <w:t>铜鼓县革命文物保护利用总体任务清单（2022-2030年）</w:t>
      </w:r>
    </w:p>
    <w:tbl>
      <w:tblPr>
        <w:tblStyle w:val="41"/>
        <w:tblpPr w:leftFromText="180" w:rightFromText="180" w:vertAnchor="text" w:tblpXSpec="center" w:tblpY="368"/>
        <w:tblOverlap w:val="never"/>
        <w:tblW w:w="148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2721"/>
        <w:gridCol w:w="8647"/>
        <w:gridCol w:w="2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413" w:type="dxa"/>
            <w:vAlign w:val="center"/>
          </w:tcPr>
          <w:p>
            <w:pPr>
              <w:tabs>
                <w:tab w:val="center" w:pos="4153"/>
                <w:tab w:val="right" w:pos="8306"/>
              </w:tabs>
              <w:snapToGrid w:val="0"/>
              <w:spacing w:line="300" w:lineRule="exact"/>
              <w:jc w:val="center"/>
              <w:rPr>
                <w:rFonts w:hAnsi="宋体" w:cs="宋体"/>
                <w:b/>
                <w:sz w:val="24"/>
              </w:rPr>
            </w:pPr>
            <w:r>
              <w:rPr>
                <w:rFonts w:hint="eastAsia" w:hAnsi="宋体" w:cs="宋体"/>
                <w:b/>
                <w:sz w:val="24"/>
              </w:rPr>
              <w:t>总体目标</w:t>
            </w:r>
          </w:p>
        </w:tc>
        <w:tc>
          <w:tcPr>
            <w:tcW w:w="2721" w:type="dxa"/>
            <w:vAlign w:val="center"/>
          </w:tcPr>
          <w:p>
            <w:pPr>
              <w:tabs>
                <w:tab w:val="center" w:pos="4153"/>
                <w:tab w:val="right" w:pos="8306"/>
              </w:tabs>
              <w:snapToGrid w:val="0"/>
              <w:spacing w:line="300" w:lineRule="exact"/>
              <w:jc w:val="center"/>
              <w:rPr>
                <w:rFonts w:hAnsi="宋体" w:cs="宋体"/>
                <w:b/>
                <w:sz w:val="24"/>
              </w:rPr>
            </w:pPr>
            <w:r>
              <w:rPr>
                <w:rFonts w:hint="eastAsia" w:hAnsi="宋体" w:cs="宋体"/>
                <w:b/>
                <w:sz w:val="24"/>
              </w:rPr>
              <w:t>目 标 任 务</w:t>
            </w:r>
          </w:p>
        </w:tc>
        <w:tc>
          <w:tcPr>
            <w:tcW w:w="8647" w:type="dxa"/>
            <w:vAlign w:val="center"/>
          </w:tcPr>
          <w:p>
            <w:pPr>
              <w:tabs>
                <w:tab w:val="center" w:pos="4153"/>
                <w:tab w:val="right" w:pos="8306"/>
              </w:tabs>
              <w:snapToGrid w:val="0"/>
              <w:spacing w:line="300" w:lineRule="exact"/>
              <w:jc w:val="center"/>
              <w:rPr>
                <w:rFonts w:hAnsi="宋体" w:cs="宋体"/>
                <w:b/>
                <w:sz w:val="24"/>
              </w:rPr>
            </w:pPr>
            <w:r>
              <w:rPr>
                <w:rFonts w:hint="eastAsia" w:hAnsi="宋体" w:cs="宋体"/>
                <w:b/>
                <w:sz w:val="24"/>
              </w:rPr>
              <w:t>目 标 内 容 及 指 标</w:t>
            </w:r>
          </w:p>
        </w:tc>
        <w:tc>
          <w:tcPr>
            <w:tcW w:w="2068" w:type="dxa"/>
            <w:vAlign w:val="center"/>
          </w:tcPr>
          <w:p>
            <w:pPr>
              <w:tabs>
                <w:tab w:val="center" w:pos="4153"/>
                <w:tab w:val="right" w:pos="8306"/>
              </w:tabs>
              <w:snapToGrid w:val="0"/>
              <w:spacing w:line="300" w:lineRule="exact"/>
              <w:jc w:val="center"/>
              <w:rPr>
                <w:rFonts w:hAnsi="宋体" w:cs="宋体"/>
                <w:b/>
                <w:sz w:val="24"/>
              </w:rPr>
            </w:pPr>
            <w:r>
              <w:rPr>
                <w:rFonts w:hint="eastAsia" w:hAnsi="宋体" w:cs="宋体"/>
                <w:b/>
                <w:sz w:val="24"/>
              </w:rPr>
              <w:t>预期时间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3" w:type="dxa"/>
            <w:vMerge w:val="restart"/>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至2025年，成功创建江西省革命文物保护利用示范县</w:t>
            </w:r>
          </w:p>
        </w:tc>
        <w:tc>
          <w:tcPr>
            <w:tcW w:w="2721" w:type="dxa"/>
            <w:vAlign w:val="center"/>
          </w:tcPr>
          <w:p>
            <w:pPr>
              <w:tabs>
                <w:tab w:val="center" w:pos="4153"/>
                <w:tab w:val="right" w:pos="8306"/>
              </w:tabs>
              <w:snapToGrid w:val="0"/>
              <w:spacing w:line="300" w:lineRule="exact"/>
              <w:rPr>
                <w:rFonts w:hAnsi="宋体" w:cs="宋体"/>
                <w:bCs/>
                <w:sz w:val="24"/>
              </w:rPr>
            </w:pPr>
            <w:r>
              <w:rPr>
                <w:rFonts w:hint="eastAsia" w:hAnsi="宋体" w:cs="宋体"/>
                <w:bCs/>
                <w:kern w:val="0"/>
                <w:sz w:val="24"/>
                <w:lang w:bidi="ar"/>
              </w:rPr>
              <w:t>集中连片保护</w:t>
            </w:r>
          </w:p>
        </w:tc>
        <w:tc>
          <w:tcPr>
            <w:tcW w:w="8647" w:type="dxa"/>
            <w:vAlign w:val="center"/>
          </w:tcPr>
          <w:p>
            <w:pPr>
              <w:tabs>
                <w:tab w:val="center" w:pos="4153"/>
                <w:tab w:val="right" w:pos="8306"/>
              </w:tabs>
              <w:snapToGrid w:val="0"/>
              <w:spacing w:line="300" w:lineRule="exact"/>
              <w:rPr>
                <w:rFonts w:hAnsi="宋体" w:cs="宋体"/>
                <w:bCs/>
                <w:sz w:val="24"/>
              </w:rPr>
            </w:pPr>
            <w:r>
              <w:rPr>
                <w:rFonts w:hint="eastAsia" w:hAnsi="宋体" w:cs="宋体"/>
                <w:bCs/>
                <w:kern w:val="0"/>
                <w:sz w:val="24"/>
                <w:lang w:bidi="ar"/>
              </w:rPr>
              <w:t>对县城区域及永宁镇、排埠镇围绕秋收起义革命主题，棋坪镇、高桥乡围绕湘鄂赣根据地主题，开展集中连片保护。县级以上革命文物本体保存现状良好率100%。</w:t>
            </w:r>
            <w:r>
              <w:rPr>
                <w:rFonts w:hint="eastAsia" w:hAnsi="宋体" w:cs="宋体"/>
                <w:bCs/>
                <w:sz w:val="24"/>
              </w:rPr>
              <w:t>基本消除革命文物保护单位险情。</w:t>
            </w:r>
          </w:p>
        </w:tc>
        <w:tc>
          <w:tcPr>
            <w:tcW w:w="2068"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2022年--2023年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3" w:type="dxa"/>
            <w:vMerge w:val="continue"/>
            <w:vAlign w:val="center"/>
          </w:tcPr>
          <w:p>
            <w:pPr>
              <w:tabs>
                <w:tab w:val="center" w:pos="4153"/>
                <w:tab w:val="right" w:pos="8306"/>
              </w:tabs>
              <w:snapToGrid w:val="0"/>
              <w:spacing w:line="300" w:lineRule="exact"/>
              <w:rPr>
                <w:rFonts w:hAnsi="宋体" w:cs="宋体"/>
                <w:bCs/>
                <w:sz w:val="24"/>
              </w:rPr>
            </w:pPr>
          </w:p>
        </w:tc>
        <w:tc>
          <w:tcPr>
            <w:tcW w:w="2721" w:type="dxa"/>
            <w:vAlign w:val="center"/>
          </w:tcPr>
          <w:p>
            <w:pPr>
              <w:tabs>
                <w:tab w:val="center" w:pos="4153"/>
                <w:tab w:val="right" w:pos="8306"/>
              </w:tabs>
              <w:snapToGrid w:val="0"/>
              <w:spacing w:line="300" w:lineRule="exact"/>
              <w:rPr>
                <w:rFonts w:hAnsi="宋体" w:cs="宋体"/>
                <w:sz w:val="24"/>
              </w:rPr>
            </w:pPr>
            <w:r>
              <w:rPr>
                <w:rFonts w:hint="eastAsia" w:hAnsi="宋体" w:cs="宋体"/>
                <w:sz w:val="24"/>
              </w:rPr>
              <w:t>馆藏革命文物保护</w:t>
            </w:r>
          </w:p>
        </w:tc>
        <w:tc>
          <w:tcPr>
            <w:tcW w:w="8647"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实现文物库房保存条件达标。加强材质脆弱、病害严重的馆藏革命文物本体保护修复。</w:t>
            </w:r>
          </w:p>
        </w:tc>
        <w:tc>
          <w:tcPr>
            <w:tcW w:w="2068"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2022年--2023年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3" w:type="dxa"/>
            <w:vMerge w:val="continue"/>
            <w:vAlign w:val="center"/>
          </w:tcPr>
          <w:p>
            <w:pPr>
              <w:tabs>
                <w:tab w:val="center" w:pos="4153"/>
                <w:tab w:val="right" w:pos="8306"/>
              </w:tabs>
              <w:snapToGrid w:val="0"/>
              <w:spacing w:line="300" w:lineRule="exact"/>
              <w:rPr>
                <w:rFonts w:hAnsi="宋体" w:cs="宋体"/>
                <w:bCs/>
                <w:sz w:val="24"/>
              </w:rPr>
            </w:pPr>
          </w:p>
        </w:tc>
        <w:tc>
          <w:tcPr>
            <w:tcW w:w="2721"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shd w:val="clear" w:color="auto" w:fill="FFFFFF"/>
              </w:rPr>
              <w:t>红色标语保护利用</w:t>
            </w:r>
          </w:p>
        </w:tc>
        <w:tc>
          <w:tcPr>
            <w:tcW w:w="8647"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持续开展红色标语抢救性保护维修，举办“铜鼓县红色标语展”，打造“红色标语驿站”。</w:t>
            </w:r>
          </w:p>
        </w:tc>
        <w:tc>
          <w:tcPr>
            <w:tcW w:w="2068"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2022年--2023年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3" w:type="dxa"/>
            <w:vMerge w:val="continue"/>
            <w:vAlign w:val="center"/>
          </w:tcPr>
          <w:p>
            <w:pPr>
              <w:tabs>
                <w:tab w:val="center" w:pos="4153"/>
                <w:tab w:val="right" w:pos="8306"/>
              </w:tabs>
              <w:snapToGrid w:val="0"/>
              <w:spacing w:line="300" w:lineRule="exact"/>
              <w:rPr>
                <w:rFonts w:hAnsi="宋体" w:cs="宋体"/>
                <w:bCs/>
                <w:sz w:val="24"/>
              </w:rPr>
            </w:pPr>
          </w:p>
        </w:tc>
        <w:tc>
          <w:tcPr>
            <w:tcW w:w="2721"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革命文物精品展陈</w:t>
            </w:r>
          </w:p>
        </w:tc>
        <w:tc>
          <w:tcPr>
            <w:tcW w:w="8647" w:type="dxa"/>
            <w:vAlign w:val="center"/>
          </w:tcPr>
          <w:p>
            <w:pPr>
              <w:tabs>
                <w:tab w:val="center" w:pos="4153"/>
                <w:tab w:val="right" w:pos="8306"/>
              </w:tabs>
              <w:snapToGrid w:val="0"/>
              <w:spacing w:line="300" w:lineRule="exact"/>
              <w:rPr>
                <w:rFonts w:hAnsi="宋体" w:cs="宋体"/>
                <w:bCs/>
                <w:spacing w:val="-3"/>
                <w:sz w:val="24"/>
              </w:rPr>
            </w:pPr>
            <w:r>
              <w:rPr>
                <w:rFonts w:hint="eastAsia" w:hAnsi="宋体" w:cs="宋体"/>
                <w:bCs/>
                <w:sz w:val="24"/>
              </w:rPr>
              <w:t>1.打造主题突出、</w:t>
            </w:r>
            <w:r>
              <w:rPr>
                <w:rFonts w:hint="eastAsia" w:hAnsi="宋体" w:cs="宋体"/>
                <w:bCs/>
                <w:spacing w:val="-6"/>
                <w:sz w:val="24"/>
              </w:rPr>
              <w:t>内涵丰富、形式</w:t>
            </w:r>
            <w:r>
              <w:rPr>
                <w:rFonts w:hint="eastAsia" w:hAnsi="宋体" w:cs="宋体"/>
                <w:bCs/>
                <w:spacing w:val="-3"/>
                <w:sz w:val="24"/>
              </w:rPr>
              <w:t>新颖的秋收起义革命文物陈列展览精品。</w:t>
            </w:r>
          </w:p>
          <w:p>
            <w:pPr>
              <w:tabs>
                <w:tab w:val="center" w:pos="4153"/>
                <w:tab w:val="right" w:pos="8306"/>
              </w:tabs>
              <w:snapToGrid w:val="0"/>
              <w:spacing w:line="300" w:lineRule="exact"/>
              <w:rPr>
                <w:rFonts w:hAnsi="宋体" w:cs="宋体"/>
                <w:bCs/>
                <w:sz w:val="24"/>
              </w:rPr>
            </w:pPr>
            <w:r>
              <w:rPr>
                <w:rFonts w:hint="eastAsia" w:hAnsi="宋体" w:cs="宋体"/>
                <w:bCs/>
                <w:kern w:val="0"/>
                <w:sz w:val="24"/>
                <w:lang w:bidi="ar"/>
              </w:rPr>
              <w:t>2.完善秋收起义部队新兵训练处旧址、湘鄂赣省苏维埃政府旧址、中国工农革命军第一军第一师三团一营部旧址</w:t>
            </w:r>
            <w:r>
              <w:rPr>
                <w:rFonts w:hint="eastAsia" w:hAnsi="宋体" w:cs="宋体"/>
                <w:bCs/>
                <w:sz w:val="24"/>
              </w:rPr>
              <w:t>等革命旧址展陈。</w:t>
            </w:r>
          </w:p>
        </w:tc>
        <w:tc>
          <w:tcPr>
            <w:tcW w:w="2068"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2022年--2024年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3" w:type="dxa"/>
            <w:vMerge w:val="continue"/>
            <w:vAlign w:val="center"/>
          </w:tcPr>
          <w:p>
            <w:pPr>
              <w:tabs>
                <w:tab w:val="center" w:pos="4153"/>
                <w:tab w:val="right" w:pos="8306"/>
              </w:tabs>
              <w:snapToGrid w:val="0"/>
              <w:spacing w:line="300" w:lineRule="exact"/>
              <w:rPr>
                <w:rFonts w:hAnsi="宋体" w:cs="宋体"/>
                <w:bCs/>
                <w:sz w:val="24"/>
              </w:rPr>
            </w:pPr>
          </w:p>
        </w:tc>
        <w:tc>
          <w:tcPr>
            <w:tcW w:w="2721" w:type="dxa"/>
            <w:vAlign w:val="center"/>
          </w:tcPr>
          <w:p>
            <w:pPr>
              <w:tabs>
                <w:tab w:val="center" w:pos="4153"/>
                <w:tab w:val="right" w:pos="8306"/>
              </w:tabs>
              <w:snapToGrid w:val="0"/>
              <w:spacing w:line="300" w:lineRule="exact"/>
              <w:rPr>
                <w:rFonts w:hAnsi="宋体" w:cs="宋体"/>
                <w:bCs/>
                <w:sz w:val="24"/>
              </w:rPr>
            </w:pPr>
            <w:r>
              <w:rPr>
                <w:rFonts w:hint="eastAsia" w:hAnsi="宋体" w:cs="宋体"/>
                <w:bCs/>
                <w:spacing w:val="-2"/>
                <w:sz w:val="24"/>
              </w:rPr>
              <w:t>建设秋收起义文化公园</w:t>
            </w:r>
          </w:p>
        </w:tc>
        <w:tc>
          <w:tcPr>
            <w:tcW w:w="8647"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shd w:val="clear" w:color="auto" w:fill="FFFFFF"/>
              </w:rPr>
              <w:t>建设秋收起义纪念广场景观及雕塑工程，新建VR体验馆、游客服务中心及配套设施等。</w:t>
            </w:r>
          </w:p>
        </w:tc>
        <w:tc>
          <w:tcPr>
            <w:tcW w:w="2068"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2022年--2025年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3" w:type="dxa"/>
            <w:vMerge w:val="continue"/>
            <w:vAlign w:val="center"/>
          </w:tcPr>
          <w:p>
            <w:pPr>
              <w:tabs>
                <w:tab w:val="center" w:pos="4153"/>
                <w:tab w:val="right" w:pos="8306"/>
              </w:tabs>
              <w:snapToGrid w:val="0"/>
              <w:spacing w:line="300" w:lineRule="exact"/>
              <w:rPr>
                <w:rFonts w:hAnsi="宋体" w:cs="宋体"/>
                <w:bCs/>
                <w:sz w:val="24"/>
              </w:rPr>
            </w:pPr>
          </w:p>
        </w:tc>
        <w:tc>
          <w:tcPr>
            <w:tcW w:w="2721"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开展红色教育培训</w:t>
            </w:r>
          </w:p>
        </w:tc>
        <w:tc>
          <w:tcPr>
            <w:tcW w:w="8647"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利用</w:t>
            </w:r>
            <w:r>
              <w:rPr>
                <w:rFonts w:hint="eastAsia" w:hAnsi="宋体" w:cs="宋体"/>
                <w:bCs/>
                <w:kern w:val="0"/>
                <w:sz w:val="24"/>
                <w:lang w:bidi="ar"/>
              </w:rPr>
              <w:t>秋收起义铜鼓纪念馆</w:t>
            </w:r>
            <w:r>
              <w:rPr>
                <w:rFonts w:hint="eastAsia" w:hAnsi="宋体" w:cs="宋体"/>
                <w:bCs/>
                <w:sz w:val="24"/>
              </w:rPr>
              <w:t>、</w:t>
            </w:r>
            <w:r>
              <w:rPr>
                <w:rFonts w:hint="eastAsia" w:hAnsi="宋体" w:cs="宋体"/>
                <w:bCs/>
                <w:spacing w:val="15"/>
                <w:sz w:val="24"/>
                <w:shd w:val="clear" w:color="auto" w:fill="FFFFFF"/>
              </w:rPr>
              <w:t>湘鄂赣革命根据地铜鼓烈士纪念馆</w:t>
            </w:r>
            <w:r>
              <w:rPr>
                <w:rFonts w:hint="eastAsia" w:hAnsi="宋体" w:cs="宋体"/>
                <w:bCs/>
                <w:sz w:val="24"/>
              </w:rPr>
              <w:t>等开展干部党性教育、红色研学实践活动。</w:t>
            </w:r>
          </w:p>
        </w:tc>
        <w:tc>
          <w:tcPr>
            <w:tcW w:w="2068"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2022年--2025年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3" w:type="dxa"/>
            <w:vMerge w:val="continue"/>
            <w:vAlign w:val="center"/>
          </w:tcPr>
          <w:p>
            <w:pPr>
              <w:tabs>
                <w:tab w:val="center" w:pos="4153"/>
                <w:tab w:val="right" w:pos="8306"/>
              </w:tabs>
              <w:snapToGrid w:val="0"/>
              <w:spacing w:line="300" w:lineRule="exact"/>
              <w:rPr>
                <w:rFonts w:hAnsi="宋体" w:cs="宋体"/>
                <w:bCs/>
                <w:sz w:val="24"/>
              </w:rPr>
            </w:pPr>
          </w:p>
        </w:tc>
        <w:tc>
          <w:tcPr>
            <w:tcW w:w="2721"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打造红色旅游线路</w:t>
            </w:r>
          </w:p>
        </w:tc>
        <w:tc>
          <w:tcPr>
            <w:tcW w:w="8647" w:type="dxa"/>
            <w:vAlign w:val="center"/>
          </w:tcPr>
          <w:p>
            <w:pPr>
              <w:numPr>
                <w:ilvl w:val="0"/>
                <w:numId w:val="1"/>
              </w:numPr>
              <w:tabs>
                <w:tab w:val="center" w:pos="4153"/>
                <w:tab w:val="right" w:pos="8306"/>
              </w:tabs>
              <w:snapToGrid w:val="0"/>
              <w:spacing w:line="300" w:lineRule="exact"/>
              <w:rPr>
                <w:rFonts w:hAnsi="宋体" w:cs="宋体"/>
                <w:bCs/>
                <w:sz w:val="24"/>
              </w:rPr>
            </w:pPr>
            <w:r>
              <w:rPr>
                <w:rFonts w:hint="eastAsia" w:hAnsi="宋体" w:cs="宋体"/>
                <w:bCs/>
                <w:sz w:val="24"/>
              </w:rPr>
              <w:t>打造以毛泽东脱险地、秋收起义铜鼓纪念馆为中心的两条精品线路。</w:t>
            </w:r>
          </w:p>
          <w:p>
            <w:pPr>
              <w:numPr>
                <w:ilvl w:val="0"/>
                <w:numId w:val="1"/>
              </w:numPr>
              <w:tabs>
                <w:tab w:val="center" w:pos="4153"/>
                <w:tab w:val="right" w:pos="8306"/>
              </w:tabs>
              <w:snapToGrid w:val="0"/>
              <w:spacing w:line="300" w:lineRule="exact"/>
              <w:rPr>
                <w:rFonts w:hAnsi="宋体" w:cs="宋体"/>
                <w:bCs/>
                <w:sz w:val="24"/>
              </w:rPr>
            </w:pPr>
            <w:r>
              <w:rPr>
                <w:rFonts w:hint="eastAsia" w:hAnsi="宋体" w:cs="宋体"/>
                <w:bCs/>
                <w:sz w:val="24"/>
              </w:rPr>
              <w:t>打造铜鼓—文家市—安源、铜鼓—修水—通城精品线路。</w:t>
            </w:r>
          </w:p>
        </w:tc>
        <w:tc>
          <w:tcPr>
            <w:tcW w:w="2068"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2022年--2025年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3" w:type="dxa"/>
            <w:vMerge w:val="continue"/>
            <w:vAlign w:val="center"/>
          </w:tcPr>
          <w:p>
            <w:pPr>
              <w:tabs>
                <w:tab w:val="center" w:pos="4153"/>
                <w:tab w:val="right" w:pos="8306"/>
              </w:tabs>
              <w:snapToGrid w:val="0"/>
              <w:spacing w:line="300" w:lineRule="exact"/>
              <w:rPr>
                <w:rFonts w:hAnsi="宋体" w:cs="宋体"/>
                <w:bCs/>
                <w:sz w:val="24"/>
              </w:rPr>
            </w:pPr>
          </w:p>
        </w:tc>
        <w:tc>
          <w:tcPr>
            <w:tcW w:w="2721" w:type="dxa"/>
            <w:vAlign w:val="center"/>
          </w:tcPr>
          <w:p>
            <w:pPr>
              <w:tabs>
                <w:tab w:val="center" w:pos="4153"/>
                <w:tab w:val="right" w:pos="8306"/>
              </w:tabs>
              <w:snapToGrid w:val="0"/>
              <w:spacing w:line="300" w:lineRule="exact"/>
              <w:rPr>
                <w:rFonts w:hAnsi="宋体" w:cs="宋体"/>
                <w:bCs/>
                <w:sz w:val="24"/>
              </w:rPr>
            </w:pPr>
            <w:r>
              <w:rPr>
                <w:rFonts w:hint="eastAsia" w:hAnsi="宋体" w:cs="宋体"/>
                <w:bCs/>
                <w:kern w:val="0"/>
                <w:sz w:val="24"/>
                <w:lang w:bidi="ar"/>
              </w:rPr>
              <w:t>研发文化创意产品</w:t>
            </w:r>
          </w:p>
        </w:tc>
        <w:tc>
          <w:tcPr>
            <w:tcW w:w="8647" w:type="dxa"/>
            <w:vAlign w:val="center"/>
          </w:tcPr>
          <w:p>
            <w:pPr>
              <w:tabs>
                <w:tab w:val="center" w:pos="4153"/>
                <w:tab w:val="right" w:pos="8306"/>
              </w:tabs>
              <w:snapToGrid w:val="0"/>
              <w:spacing w:line="300" w:lineRule="exact"/>
              <w:rPr>
                <w:rFonts w:hAnsi="宋体" w:cs="宋体"/>
                <w:bCs/>
                <w:sz w:val="24"/>
              </w:rPr>
            </w:pPr>
            <w:r>
              <w:rPr>
                <w:rFonts w:hint="eastAsia" w:hAnsi="宋体" w:cs="宋体"/>
                <w:bCs/>
                <w:kern w:val="0"/>
                <w:sz w:val="24"/>
                <w:lang w:bidi="ar"/>
              </w:rPr>
              <w:t>依托文物资源开展红色文化元素、符号推荐评选活动，举办文创产品设计比赛，研发系列文创产品。</w:t>
            </w:r>
          </w:p>
        </w:tc>
        <w:tc>
          <w:tcPr>
            <w:tcW w:w="2068"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2022年--2023年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3" w:type="dxa"/>
            <w:vMerge w:val="continue"/>
            <w:vAlign w:val="center"/>
          </w:tcPr>
          <w:p>
            <w:pPr>
              <w:tabs>
                <w:tab w:val="center" w:pos="4153"/>
                <w:tab w:val="right" w:pos="8306"/>
              </w:tabs>
              <w:snapToGrid w:val="0"/>
              <w:spacing w:line="300" w:lineRule="exact"/>
              <w:rPr>
                <w:rFonts w:hAnsi="宋体" w:cs="宋体"/>
                <w:bCs/>
                <w:sz w:val="24"/>
              </w:rPr>
            </w:pPr>
          </w:p>
        </w:tc>
        <w:tc>
          <w:tcPr>
            <w:tcW w:w="2721" w:type="dxa"/>
            <w:vAlign w:val="center"/>
          </w:tcPr>
          <w:p>
            <w:pPr>
              <w:tabs>
                <w:tab w:val="center" w:pos="4153"/>
                <w:tab w:val="right" w:pos="8306"/>
              </w:tabs>
              <w:snapToGrid w:val="0"/>
              <w:spacing w:line="300" w:lineRule="exact"/>
              <w:rPr>
                <w:rFonts w:hAnsi="宋体" w:cs="宋体"/>
                <w:bCs/>
                <w:kern w:val="0"/>
                <w:sz w:val="24"/>
                <w:lang w:bidi="ar"/>
              </w:rPr>
            </w:pPr>
            <w:r>
              <w:rPr>
                <w:rFonts w:hint="eastAsia" w:hAnsi="宋体" w:cs="宋体"/>
                <w:bCs/>
                <w:kern w:val="0"/>
                <w:sz w:val="24"/>
                <w:lang w:bidi="ar"/>
              </w:rPr>
              <w:t>非国有革命旧址保护</w:t>
            </w:r>
          </w:p>
          <w:p>
            <w:pPr>
              <w:tabs>
                <w:tab w:val="center" w:pos="4153"/>
                <w:tab w:val="right" w:pos="8306"/>
              </w:tabs>
              <w:snapToGrid w:val="0"/>
              <w:spacing w:line="300" w:lineRule="exact"/>
              <w:rPr>
                <w:rFonts w:hAnsi="宋体" w:cs="宋体"/>
                <w:bCs/>
                <w:sz w:val="24"/>
              </w:rPr>
            </w:pPr>
            <w:r>
              <w:rPr>
                <w:rFonts w:hint="eastAsia" w:hAnsi="宋体" w:cs="宋体"/>
                <w:bCs/>
                <w:kern w:val="0"/>
                <w:sz w:val="24"/>
                <w:lang w:bidi="ar"/>
              </w:rPr>
              <w:t>利用</w:t>
            </w:r>
          </w:p>
        </w:tc>
        <w:tc>
          <w:tcPr>
            <w:tcW w:w="8647"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鼓励产权所有人依法依规履行文物保管员与讲解员的职责，实现“两员合一”，与革命旧址产权所有人签订管理保护协议达到100%。</w:t>
            </w:r>
          </w:p>
        </w:tc>
        <w:tc>
          <w:tcPr>
            <w:tcW w:w="2068"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2022年--2023年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3" w:type="dxa"/>
            <w:vMerge w:val="continue"/>
            <w:vAlign w:val="center"/>
          </w:tcPr>
          <w:p>
            <w:pPr>
              <w:tabs>
                <w:tab w:val="center" w:pos="4153"/>
                <w:tab w:val="right" w:pos="8306"/>
              </w:tabs>
              <w:snapToGrid w:val="0"/>
              <w:spacing w:line="300" w:lineRule="exact"/>
              <w:rPr>
                <w:rFonts w:hAnsi="宋体" w:cs="宋体"/>
                <w:bCs/>
                <w:sz w:val="24"/>
              </w:rPr>
            </w:pPr>
          </w:p>
        </w:tc>
        <w:tc>
          <w:tcPr>
            <w:tcW w:w="2721" w:type="dxa"/>
            <w:vAlign w:val="center"/>
          </w:tcPr>
          <w:p>
            <w:pPr>
              <w:tabs>
                <w:tab w:val="center" w:pos="4153"/>
                <w:tab w:val="right" w:pos="8306"/>
              </w:tabs>
              <w:snapToGrid w:val="0"/>
              <w:spacing w:line="300" w:lineRule="exact"/>
              <w:rPr>
                <w:rFonts w:hAnsi="宋体" w:cs="宋体"/>
                <w:bCs/>
                <w:sz w:val="24"/>
              </w:rPr>
            </w:pPr>
            <w:r>
              <w:rPr>
                <w:rFonts w:hint="eastAsia" w:hAnsi="宋体" w:cs="宋体"/>
                <w:bCs/>
                <w:kern w:val="0"/>
                <w:sz w:val="24"/>
                <w:lang w:bidi="ar"/>
              </w:rPr>
              <w:t>确保文物平安</w:t>
            </w:r>
          </w:p>
        </w:tc>
        <w:tc>
          <w:tcPr>
            <w:tcW w:w="8647" w:type="dxa"/>
            <w:vAlign w:val="center"/>
          </w:tcPr>
          <w:p>
            <w:pPr>
              <w:tabs>
                <w:tab w:val="center" w:pos="4153"/>
                <w:tab w:val="right" w:pos="8306"/>
              </w:tabs>
              <w:snapToGrid w:val="0"/>
              <w:spacing w:line="300" w:lineRule="exact"/>
              <w:rPr>
                <w:rFonts w:hAnsi="宋体" w:cs="宋体"/>
                <w:bCs/>
                <w:sz w:val="24"/>
              </w:rPr>
            </w:pPr>
            <w:r>
              <w:rPr>
                <w:rFonts w:hint="eastAsia" w:hAnsi="宋体" w:cs="宋体"/>
                <w:bCs/>
                <w:kern w:val="0"/>
                <w:sz w:val="24"/>
                <w:lang w:bidi="ar"/>
              </w:rPr>
              <w:t>对低级别文物保护单位实现全覆盖巡查。建立铜鼓县文物安全监管系统平台，对全县革命文物保护单位实现远程监管，推动北斗系统运用到监测、巡查工作中，持续做好革命文物日常养护和安全监测。</w:t>
            </w:r>
          </w:p>
        </w:tc>
        <w:tc>
          <w:tcPr>
            <w:tcW w:w="2068"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2022年--2025年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3" w:type="dxa"/>
            <w:vMerge w:val="restart"/>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至2030年，建成在全国有较大影响力的革命文物保护利用强县</w:t>
            </w:r>
          </w:p>
        </w:tc>
        <w:tc>
          <w:tcPr>
            <w:tcW w:w="2721" w:type="dxa"/>
            <w:vAlign w:val="center"/>
          </w:tcPr>
          <w:p>
            <w:pPr>
              <w:tabs>
                <w:tab w:val="center" w:pos="4153"/>
                <w:tab w:val="right" w:pos="8306"/>
              </w:tabs>
              <w:snapToGrid w:val="0"/>
              <w:spacing w:line="300" w:lineRule="exact"/>
              <w:rPr>
                <w:rFonts w:hAnsi="宋体" w:cs="宋体"/>
                <w:bCs/>
                <w:sz w:val="24"/>
              </w:rPr>
            </w:pPr>
            <w:r>
              <w:rPr>
                <w:rFonts w:hint="eastAsia" w:hAnsi="宋体" w:cs="宋体"/>
                <w:bCs/>
                <w:kern w:val="0"/>
                <w:sz w:val="24"/>
                <w:lang w:bidi="ar"/>
              </w:rPr>
              <w:t>低级别革命文物保护利用</w:t>
            </w:r>
          </w:p>
        </w:tc>
        <w:tc>
          <w:tcPr>
            <w:tcW w:w="8647"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shd w:val="clear" w:color="auto" w:fill="FFFFFF"/>
              </w:rPr>
              <w:t>推进革命文物保护利用与乡村振兴、城市更新相结合，将革命文物保护利用纳入红色名村、乡村旅游点、农村文化广场建设和城市景观改造提升的规划和项目。低级别</w:t>
            </w:r>
            <w:r>
              <w:rPr>
                <w:rFonts w:hint="eastAsia" w:hAnsi="宋体" w:cs="宋体"/>
                <w:bCs/>
                <w:kern w:val="0"/>
                <w:sz w:val="24"/>
                <w:lang w:bidi="ar"/>
              </w:rPr>
              <w:t>革命文物本体保存现状良好率100%。</w:t>
            </w:r>
          </w:p>
        </w:tc>
        <w:tc>
          <w:tcPr>
            <w:tcW w:w="2068"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2022年--2028年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3" w:type="dxa"/>
            <w:vMerge w:val="continue"/>
            <w:vAlign w:val="center"/>
          </w:tcPr>
          <w:p>
            <w:pPr>
              <w:tabs>
                <w:tab w:val="center" w:pos="4153"/>
                <w:tab w:val="right" w:pos="8306"/>
              </w:tabs>
              <w:snapToGrid w:val="0"/>
              <w:spacing w:line="300" w:lineRule="exact"/>
              <w:rPr>
                <w:rFonts w:hAnsi="宋体" w:cs="宋体"/>
                <w:bCs/>
                <w:sz w:val="24"/>
              </w:rPr>
            </w:pPr>
          </w:p>
        </w:tc>
        <w:tc>
          <w:tcPr>
            <w:tcW w:w="2721" w:type="dxa"/>
            <w:vAlign w:val="center"/>
          </w:tcPr>
          <w:p>
            <w:pPr>
              <w:tabs>
                <w:tab w:val="center" w:pos="4153"/>
                <w:tab w:val="right" w:pos="8306"/>
              </w:tabs>
              <w:snapToGrid w:val="0"/>
              <w:spacing w:line="300" w:lineRule="exact"/>
              <w:rPr>
                <w:rFonts w:hAnsi="宋体" w:cs="宋体"/>
                <w:sz w:val="24"/>
              </w:rPr>
            </w:pPr>
            <w:r>
              <w:rPr>
                <w:rFonts w:hint="eastAsia" w:hAnsi="宋体" w:cs="宋体"/>
                <w:sz w:val="24"/>
              </w:rPr>
              <w:t>打造红色教育培训高地</w:t>
            </w:r>
          </w:p>
        </w:tc>
        <w:tc>
          <w:tcPr>
            <w:tcW w:w="8647" w:type="dxa"/>
            <w:vAlign w:val="center"/>
          </w:tcPr>
          <w:p>
            <w:pPr>
              <w:tabs>
                <w:tab w:val="center" w:pos="4153"/>
                <w:tab w:val="right" w:pos="8306"/>
              </w:tabs>
              <w:snapToGrid w:val="0"/>
              <w:spacing w:line="300" w:lineRule="exact"/>
              <w:rPr>
                <w:rFonts w:hAnsi="宋体" w:cs="宋体"/>
                <w:sz w:val="24"/>
              </w:rPr>
            </w:pPr>
            <w:r>
              <w:rPr>
                <w:rFonts w:hint="eastAsia" w:hAnsi="宋体" w:cs="宋体"/>
                <w:spacing w:val="-8"/>
                <w:sz w:val="24"/>
              </w:rPr>
              <w:t>建设中小学研学教育基地、干</w:t>
            </w:r>
            <w:r>
              <w:rPr>
                <w:rFonts w:hint="eastAsia" w:hAnsi="宋体" w:cs="宋体"/>
                <w:spacing w:val="-9"/>
                <w:sz w:val="24"/>
              </w:rPr>
              <w:t>部教育培训中心、企业家红色体验基地，构建面向本地及全国</w:t>
            </w:r>
            <w:r>
              <w:rPr>
                <w:rFonts w:hint="eastAsia" w:hAnsi="宋体" w:cs="宋体"/>
                <w:spacing w:val="-5"/>
                <w:sz w:val="24"/>
              </w:rPr>
              <w:t>的</w:t>
            </w:r>
            <w:r>
              <w:rPr>
                <w:rFonts w:hint="eastAsia" w:hAnsi="宋体" w:cs="宋体"/>
                <w:spacing w:val="-6"/>
                <w:sz w:val="24"/>
              </w:rPr>
              <w:t>多样化、个性化</w:t>
            </w:r>
            <w:r>
              <w:rPr>
                <w:rFonts w:hint="eastAsia" w:hAnsi="宋体" w:cs="宋体"/>
                <w:spacing w:val="-3"/>
                <w:sz w:val="24"/>
              </w:rPr>
              <w:t>、多层次的以秋收起义革命历史为特色的红色教育培训体系，</w:t>
            </w:r>
            <w:r>
              <w:rPr>
                <w:rFonts w:hint="eastAsia" w:hAnsi="宋体" w:cs="宋体"/>
                <w:spacing w:val="-2"/>
                <w:sz w:val="24"/>
              </w:rPr>
              <w:t>把打造全国红色教育高地</w:t>
            </w:r>
            <w:r>
              <w:rPr>
                <w:rFonts w:hint="eastAsia" w:hAnsi="宋体" w:cs="宋体"/>
                <w:sz w:val="24"/>
              </w:rPr>
              <w:t>。</w:t>
            </w:r>
          </w:p>
        </w:tc>
        <w:tc>
          <w:tcPr>
            <w:tcW w:w="2068"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2022年--2028年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3" w:type="dxa"/>
            <w:vMerge w:val="continue"/>
            <w:vAlign w:val="center"/>
          </w:tcPr>
          <w:p>
            <w:pPr>
              <w:tabs>
                <w:tab w:val="center" w:pos="4153"/>
                <w:tab w:val="right" w:pos="8306"/>
              </w:tabs>
              <w:snapToGrid w:val="0"/>
              <w:spacing w:line="300" w:lineRule="exact"/>
              <w:rPr>
                <w:rFonts w:hAnsi="宋体" w:cs="宋体"/>
                <w:bCs/>
                <w:sz w:val="24"/>
              </w:rPr>
            </w:pPr>
          </w:p>
        </w:tc>
        <w:tc>
          <w:tcPr>
            <w:tcW w:w="2721" w:type="dxa"/>
            <w:vAlign w:val="center"/>
          </w:tcPr>
          <w:p>
            <w:pPr>
              <w:tabs>
                <w:tab w:val="center" w:pos="4153"/>
                <w:tab w:val="right" w:pos="8306"/>
              </w:tabs>
              <w:snapToGrid w:val="0"/>
              <w:spacing w:line="300" w:lineRule="exact"/>
              <w:rPr>
                <w:rFonts w:hAnsi="宋体" w:cs="宋体"/>
                <w:bCs/>
                <w:sz w:val="24"/>
              </w:rPr>
            </w:pPr>
            <w:r>
              <w:rPr>
                <w:rFonts w:hint="eastAsia" w:hAnsi="宋体" w:cs="宋体"/>
                <w:bCs/>
                <w:kern w:val="0"/>
                <w:sz w:val="24"/>
                <w:lang w:bidi="ar"/>
              </w:rPr>
              <w:t>深化赣鄂湘区域合作</w:t>
            </w:r>
          </w:p>
        </w:tc>
        <w:tc>
          <w:tcPr>
            <w:tcW w:w="8647"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加强与湖南省平江县、浏阳市，湖北通城县和崇阳县等市县文旅行政主管部门的交流与合作，共推线路、共拓市场、共建品牌，构建资源互享、客源互送、线路互推、互联互通的旅游合作发展格局。</w:t>
            </w:r>
          </w:p>
        </w:tc>
        <w:tc>
          <w:tcPr>
            <w:tcW w:w="2068"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2022年--2030年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3" w:type="dxa"/>
            <w:vMerge w:val="continue"/>
            <w:vAlign w:val="center"/>
          </w:tcPr>
          <w:p>
            <w:pPr>
              <w:tabs>
                <w:tab w:val="center" w:pos="4153"/>
                <w:tab w:val="right" w:pos="8306"/>
              </w:tabs>
              <w:snapToGrid w:val="0"/>
              <w:spacing w:line="300" w:lineRule="exact"/>
              <w:rPr>
                <w:rFonts w:hAnsi="宋体" w:cs="宋体"/>
                <w:bCs/>
                <w:sz w:val="24"/>
              </w:rPr>
            </w:pPr>
          </w:p>
        </w:tc>
        <w:tc>
          <w:tcPr>
            <w:tcW w:w="2721" w:type="dxa"/>
            <w:vAlign w:val="center"/>
          </w:tcPr>
          <w:p>
            <w:pPr>
              <w:tabs>
                <w:tab w:val="center" w:pos="4153"/>
                <w:tab w:val="right" w:pos="8306"/>
              </w:tabs>
              <w:snapToGrid w:val="0"/>
              <w:spacing w:line="300" w:lineRule="exact"/>
              <w:rPr>
                <w:rFonts w:hAnsi="宋体" w:cs="宋体"/>
                <w:bCs/>
                <w:sz w:val="24"/>
              </w:rPr>
            </w:pPr>
            <w:r>
              <w:rPr>
                <w:rFonts w:hint="eastAsia" w:hAnsi="宋体" w:cs="宋体"/>
                <w:bCs/>
                <w:kern w:val="0"/>
                <w:sz w:val="24"/>
                <w:lang w:bidi="ar"/>
              </w:rPr>
              <w:t>品牌影响力明显提升</w:t>
            </w:r>
          </w:p>
        </w:tc>
        <w:tc>
          <w:tcPr>
            <w:tcW w:w="8647"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唱响“铜鼓红”品牌，让铜鼓“响”起来。</w:t>
            </w:r>
            <w:r>
              <w:rPr>
                <w:rFonts w:hint="eastAsia" w:hAnsi="宋体" w:cs="宋体"/>
                <w:bCs/>
                <w:kern w:val="0"/>
                <w:sz w:val="24"/>
                <w:lang w:bidi="ar"/>
              </w:rPr>
              <w:t>打造以</w:t>
            </w:r>
            <w:r>
              <w:rPr>
                <w:rFonts w:hint="eastAsia" w:hAnsi="宋体" w:cs="宋体"/>
                <w:bCs/>
                <w:kern w:val="0"/>
                <w:sz w:val="24"/>
              </w:rPr>
              <w:t>“秋收起义在铜鼓”</w:t>
            </w:r>
            <w:r>
              <w:rPr>
                <w:rFonts w:hint="eastAsia" w:hAnsi="宋体" w:cs="宋体"/>
                <w:bCs/>
                <w:kern w:val="0"/>
                <w:sz w:val="24"/>
                <w:lang w:bidi="ar"/>
              </w:rPr>
              <w:t>为主题的文化IP，扩大铜鼓在全国的知名度与影响力。</w:t>
            </w:r>
          </w:p>
        </w:tc>
        <w:tc>
          <w:tcPr>
            <w:tcW w:w="2068"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2022年--2028年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3" w:type="dxa"/>
            <w:vMerge w:val="continue"/>
            <w:vAlign w:val="center"/>
          </w:tcPr>
          <w:p>
            <w:pPr>
              <w:tabs>
                <w:tab w:val="center" w:pos="4153"/>
                <w:tab w:val="right" w:pos="8306"/>
              </w:tabs>
              <w:snapToGrid w:val="0"/>
              <w:spacing w:line="300" w:lineRule="exact"/>
              <w:rPr>
                <w:rFonts w:hAnsi="宋体" w:cs="宋体"/>
                <w:bCs/>
                <w:sz w:val="24"/>
              </w:rPr>
            </w:pPr>
          </w:p>
        </w:tc>
        <w:tc>
          <w:tcPr>
            <w:tcW w:w="2721"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文旅深度融合发展</w:t>
            </w:r>
          </w:p>
        </w:tc>
        <w:tc>
          <w:tcPr>
            <w:tcW w:w="8647" w:type="dxa"/>
            <w:vAlign w:val="center"/>
          </w:tcPr>
          <w:p>
            <w:pPr>
              <w:tabs>
                <w:tab w:val="center" w:pos="4153"/>
                <w:tab w:val="right" w:pos="8306"/>
              </w:tabs>
              <w:snapToGrid w:val="0"/>
              <w:spacing w:line="300" w:lineRule="exact"/>
              <w:rPr>
                <w:rFonts w:hAnsi="宋体" w:cs="宋体"/>
                <w:bCs/>
                <w:sz w:val="24"/>
              </w:rPr>
            </w:pPr>
            <w:r>
              <w:rPr>
                <w:rFonts w:hint="eastAsia" w:hAnsi="宋体" w:cs="宋体"/>
                <w:bCs/>
                <w:kern w:val="0"/>
                <w:sz w:val="24"/>
                <w:lang w:bidi="ar"/>
              </w:rPr>
              <w:t>推动“红色+生态绿色”“红色+客家古色”及“红色+康养”“红色+乡村振兴”融合发展，实现革命历史教育、休闲康养旅游、红色文化传承等多主题、多层次、多维度地融合，打造秋收起义纪念地、赣鄂湘旅游合作示范地。</w:t>
            </w:r>
          </w:p>
        </w:tc>
        <w:tc>
          <w:tcPr>
            <w:tcW w:w="2068"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2022年--2030年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3" w:type="dxa"/>
            <w:vMerge w:val="continue"/>
            <w:vAlign w:val="center"/>
          </w:tcPr>
          <w:p>
            <w:pPr>
              <w:tabs>
                <w:tab w:val="center" w:pos="4153"/>
                <w:tab w:val="right" w:pos="8306"/>
              </w:tabs>
              <w:snapToGrid w:val="0"/>
              <w:spacing w:line="300" w:lineRule="exact"/>
              <w:rPr>
                <w:rFonts w:hAnsi="宋体" w:cs="宋体"/>
                <w:bCs/>
                <w:sz w:val="24"/>
              </w:rPr>
            </w:pPr>
          </w:p>
        </w:tc>
        <w:tc>
          <w:tcPr>
            <w:tcW w:w="2721" w:type="dxa"/>
            <w:vAlign w:val="center"/>
          </w:tcPr>
          <w:p>
            <w:pPr>
              <w:tabs>
                <w:tab w:val="center" w:pos="4153"/>
                <w:tab w:val="right" w:pos="8306"/>
              </w:tabs>
              <w:snapToGrid w:val="0"/>
              <w:spacing w:line="300" w:lineRule="exact"/>
              <w:rPr>
                <w:rFonts w:hAnsi="宋体" w:cs="宋体"/>
                <w:bCs/>
                <w:sz w:val="24"/>
              </w:rPr>
            </w:pPr>
            <w:r>
              <w:rPr>
                <w:rFonts w:hint="eastAsia" w:hAnsi="宋体" w:cs="宋体"/>
                <w:bCs/>
                <w:spacing w:val="-10"/>
                <w:sz w:val="24"/>
              </w:rPr>
              <w:t>红色旅游设施水平明显改善</w:t>
            </w:r>
          </w:p>
        </w:tc>
        <w:tc>
          <w:tcPr>
            <w:tcW w:w="8647" w:type="dxa"/>
            <w:vAlign w:val="center"/>
          </w:tcPr>
          <w:p>
            <w:pPr>
              <w:tabs>
                <w:tab w:val="center" w:pos="4153"/>
                <w:tab w:val="right" w:pos="8306"/>
              </w:tabs>
              <w:snapToGrid w:val="0"/>
              <w:spacing w:line="300" w:lineRule="exact"/>
              <w:rPr>
                <w:rFonts w:hAnsi="宋体" w:cs="宋体"/>
                <w:bCs/>
                <w:sz w:val="24"/>
              </w:rPr>
            </w:pPr>
            <w:r>
              <w:rPr>
                <w:rFonts w:hint="eastAsia" w:hAnsi="宋体" w:cs="宋体"/>
                <w:bCs/>
                <w:spacing w:val="-8"/>
                <w:sz w:val="24"/>
              </w:rPr>
              <w:t>推进革命文物开放展示点与主要交通</w:t>
            </w:r>
            <w:r>
              <w:rPr>
                <w:rFonts w:hint="eastAsia" w:hAnsi="宋体" w:cs="宋体"/>
                <w:bCs/>
                <w:spacing w:val="-16"/>
                <w:sz w:val="24"/>
              </w:rPr>
              <w:t>干线</w:t>
            </w:r>
            <w:r>
              <w:rPr>
                <w:rFonts w:hint="eastAsia" w:hAnsi="宋体" w:cs="宋体"/>
                <w:bCs/>
                <w:spacing w:val="-12"/>
                <w:sz w:val="24"/>
              </w:rPr>
              <w:t>的</w:t>
            </w:r>
            <w:r>
              <w:rPr>
                <w:rFonts w:hint="eastAsia" w:hAnsi="宋体" w:cs="宋体"/>
                <w:bCs/>
                <w:spacing w:val="-8"/>
                <w:sz w:val="24"/>
              </w:rPr>
              <w:t>连接，开通红色旅游大巴以及</w:t>
            </w:r>
            <w:r>
              <w:rPr>
                <w:rFonts w:hint="eastAsia" w:hAnsi="宋体" w:cs="宋体"/>
                <w:bCs/>
                <w:spacing w:val="-16"/>
                <w:sz w:val="24"/>
              </w:rPr>
              <w:t>红</w:t>
            </w:r>
            <w:r>
              <w:rPr>
                <w:rFonts w:hint="eastAsia" w:hAnsi="宋体" w:cs="宋体"/>
                <w:bCs/>
                <w:spacing w:val="-12"/>
                <w:sz w:val="24"/>
              </w:rPr>
              <w:t>色</w:t>
            </w:r>
            <w:r>
              <w:rPr>
                <w:rFonts w:hint="eastAsia" w:hAnsi="宋体" w:cs="宋体"/>
                <w:bCs/>
                <w:spacing w:val="-8"/>
                <w:sz w:val="24"/>
              </w:rPr>
              <w:t>公交，实现重要革命文物点全部可达、可视。</w:t>
            </w:r>
          </w:p>
        </w:tc>
        <w:tc>
          <w:tcPr>
            <w:tcW w:w="2068"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2022年--2028年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3" w:type="dxa"/>
            <w:vMerge w:val="continue"/>
            <w:vAlign w:val="center"/>
          </w:tcPr>
          <w:p>
            <w:pPr>
              <w:tabs>
                <w:tab w:val="center" w:pos="4153"/>
                <w:tab w:val="right" w:pos="8306"/>
              </w:tabs>
              <w:snapToGrid w:val="0"/>
              <w:spacing w:line="300" w:lineRule="exact"/>
              <w:rPr>
                <w:rFonts w:hAnsi="宋体" w:cs="宋体"/>
                <w:bCs/>
                <w:sz w:val="24"/>
              </w:rPr>
            </w:pPr>
          </w:p>
        </w:tc>
        <w:tc>
          <w:tcPr>
            <w:tcW w:w="2721"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创建湘赣边国家红色旅游融合发展示范区</w:t>
            </w:r>
          </w:p>
        </w:tc>
        <w:tc>
          <w:tcPr>
            <w:tcW w:w="8647" w:type="dxa"/>
            <w:vAlign w:val="center"/>
          </w:tcPr>
          <w:p>
            <w:pPr>
              <w:shd w:val="clear" w:color="auto" w:fill="FFFFFF"/>
              <w:tabs>
                <w:tab w:val="center" w:pos="4153"/>
                <w:tab w:val="right" w:pos="8306"/>
              </w:tabs>
              <w:snapToGrid w:val="0"/>
              <w:spacing w:line="300" w:lineRule="exact"/>
              <w:rPr>
                <w:rFonts w:hAnsi="宋体" w:cs="宋体"/>
                <w:bCs/>
                <w:sz w:val="24"/>
              </w:rPr>
            </w:pPr>
            <w:r>
              <w:rPr>
                <w:rFonts w:hint="eastAsia" w:hAnsi="宋体" w:cs="宋体"/>
                <w:bCs/>
                <w:kern w:val="0"/>
                <w:sz w:val="24"/>
                <w:lang w:val="zh-CN"/>
              </w:rPr>
              <w:t>以秋收起义等重大历史事件为核心，推动完善旅游基础设施和公共服务水平，</w:t>
            </w:r>
            <w:r>
              <w:rPr>
                <w:rFonts w:hint="eastAsia" w:hAnsi="宋体" w:cs="宋体"/>
                <w:bCs/>
                <w:kern w:val="0"/>
                <w:sz w:val="24"/>
              </w:rPr>
              <w:t>联动开发红色旅游产品，举办红色文化旅游节，开展“文化+旅游+教育”的红色研学游，打造全国红色旅游融合发展示范区。</w:t>
            </w:r>
          </w:p>
        </w:tc>
        <w:tc>
          <w:tcPr>
            <w:tcW w:w="2068"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2022年--2030年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3" w:type="dxa"/>
            <w:vMerge w:val="continue"/>
            <w:vAlign w:val="center"/>
          </w:tcPr>
          <w:p>
            <w:pPr>
              <w:tabs>
                <w:tab w:val="center" w:pos="4153"/>
                <w:tab w:val="right" w:pos="8306"/>
              </w:tabs>
              <w:snapToGrid w:val="0"/>
              <w:spacing w:line="300" w:lineRule="exact"/>
              <w:rPr>
                <w:rFonts w:hAnsi="宋体" w:cs="宋体"/>
                <w:bCs/>
                <w:sz w:val="24"/>
              </w:rPr>
            </w:pPr>
          </w:p>
        </w:tc>
        <w:tc>
          <w:tcPr>
            <w:tcW w:w="2721"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革命文物保护利用促进经济社会发展</w:t>
            </w:r>
          </w:p>
        </w:tc>
        <w:tc>
          <w:tcPr>
            <w:tcW w:w="8647"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每年带动铜鼓县GDP增长2%-5%。</w:t>
            </w:r>
          </w:p>
        </w:tc>
        <w:tc>
          <w:tcPr>
            <w:tcW w:w="2068"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2022年--2030年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13" w:type="dxa"/>
            <w:vMerge w:val="continue"/>
            <w:vAlign w:val="center"/>
          </w:tcPr>
          <w:p>
            <w:pPr>
              <w:tabs>
                <w:tab w:val="center" w:pos="4153"/>
                <w:tab w:val="right" w:pos="8306"/>
              </w:tabs>
              <w:snapToGrid w:val="0"/>
              <w:spacing w:line="300" w:lineRule="exact"/>
              <w:rPr>
                <w:rFonts w:hAnsi="宋体" w:cs="宋体"/>
                <w:bCs/>
                <w:sz w:val="24"/>
              </w:rPr>
            </w:pPr>
          </w:p>
        </w:tc>
        <w:tc>
          <w:tcPr>
            <w:tcW w:w="2721" w:type="dxa"/>
            <w:vAlign w:val="center"/>
          </w:tcPr>
          <w:p>
            <w:pPr>
              <w:tabs>
                <w:tab w:val="center" w:pos="4153"/>
                <w:tab w:val="right" w:pos="8306"/>
              </w:tabs>
              <w:snapToGrid w:val="0"/>
              <w:spacing w:line="300" w:lineRule="exact"/>
              <w:rPr>
                <w:rFonts w:hAnsi="宋体" w:cs="宋体"/>
                <w:bCs/>
                <w:sz w:val="24"/>
              </w:rPr>
            </w:pPr>
            <w:r>
              <w:rPr>
                <w:rFonts w:hint="eastAsia" w:hAnsi="宋体" w:cs="宋体"/>
                <w:bCs/>
                <w:kern w:val="0"/>
                <w:sz w:val="24"/>
                <w:lang w:bidi="ar"/>
              </w:rPr>
              <w:t>建立文物安全长效机制</w:t>
            </w:r>
          </w:p>
        </w:tc>
        <w:tc>
          <w:tcPr>
            <w:tcW w:w="8647" w:type="dxa"/>
            <w:vAlign w:val="center"/>
          </w:tcPr>
          <w:p>
            <w:pPr>
              <w:tabs>
                <w:tab w:val="center" w:pos="4153"/>
                <w:tab w:val="right" w:pos="8306"/>
              </w:tabs>
              <w:snapToGrid w:val="0"/>
              <w:spacing w:line="300" w:lineRule="exact"/>
              <w:rPr>
                <w:rFonts w:hAnsi="宋体" w:cs="宋体"/>
                <w:bCs/>
                <w:sz w:val="24"/>
              </w:rPr>
            </w:pPr>
            <w:r>
              <w:rPr>
                <w:rFonts w:hint="eastAsia" w:hAnsi="宋体" w:cs="宋体"/>
                <w:bCs/>
                <w:kern w:val="0"/>
                <w:sz w:val="24"/>
                <w:lang w:bidi="ar"/>
              </w:rPr>
              <w:t>多部门联合开展革命文物安全隐患排查整治工作，做好革命文物安全常态化管理。</w:t>
            </w:r>
          </w:p>
        </w:tc>
        <w:tc>
          <w:tcPr>
            <w:tcW w:w="2068" w:type="dxa"/>
            <w:vAlign w:val="center"/>
          </w:tcPr>
          <w:p>
            <w:pPr>
              <w:tabs>
                <w:tab w:val="center" w:pos="4153"/>
                <w:tab w:val="right" w:pos="8306"/>
              </w:tabs>
              <w:snapToGrid w:val="0"/>
              <w:spacing w:line="300" w:lineRule="exact"/>
              <w:rPr>
                <w:rFonts w:hAnsi="宋体" w:cs="宋体"/>
                <w:bCs/>
                <w:sz w:val="24"/>
              </w:rPr>
            </w:pPr>
            <w:r>
              <w:rPr>
                <w:rFonts w:hint="eastAsia" w:hAnsi="宋体" w:cs="宋体"/>
                <w:bCs/>
                <w:sz w:val="24"/>
              </w:rPr>
              <w:t>2022年--2030年</w:t>
            </w:r>
          </w:p>
        </w:tc>
      </w:tr>
    </w:tbl>
    <w:p>
      <w:pPr>
        <w:spacing w:after="120"/>
        <w:rPr>
          <w:rFonts w:ascii="Calibri" w:eastAsia="宋体"/>
          <w:sz w:val="21"/>
        </w:rPr>
      </w:pPr>
    </w:p>
    <w:p>
      <w:pPr>
        <w:spacing w:line="600" w:lineRule="exact"/>
        <w:rPr>
          <w:szCs w:val="32"/>
        </w:rPr>
        <w:sectPr>
          <w:pgSz w:w="16838" w:h="11906" w:orient="landscape"/>
          <w:pgMar w:top="1531" w:right="1928" w:bottom="1531" w:left="1814" w:header="851" w:footer="1304" w:gutter="0"/>
          <w:pgNumType w:fmt="numberInDash"/>
          <w:cols w:space="720" w:num="1"/>
          <w:docGrid w:type="lines" w:linePitch="435" w:charSpace="0"/>
        </w:sectPr>
      </w:pPr>
    </w:p>
    <w:p>
      <w:pPr>
        <w:spacing w:line="600" w:lineRule="exact"/>
        <w:rPr>
          <w:rFonts w:hint="eastAsia" w:ascii="黑体" w:hAnsi="黑体" w:eastAsia="黑体" w:cs="黑体"/>
          <w:szCs w:val="32"/>
        </w:rPr>
      </w:pPr>
      <w:r>
        <w:rPr>
          <w:rFonts w:hint="eastAsia" w:ascii="黑体" w:hAnsi="黑体" w:eastAsia="黑体" w:cs="黑体"/>
          <w:szCs w:val="32"/>
        </w:rPr>
        <w:t>附件2</w:t>
      </w:r>
    </w:p>
    <w:p>
      <w:pPr>
        <w:spacing w:line="600" w:lineRule="exact"/>
        <w:jc w:val="center"/>
        <w:rPr>
          <w:szCs w:val="32"/>
        </w:rPr>
      </w:pPr>
      <w:r>
        <w:rPr>
          <w:rFonts w:hint="eastAsia" w:ascii="方正小标宋简体" w:hAnsi="黑体" w:eastAsia="方正小标宋简体" w:cs="黑体"/>
          <w:sz w:val="44"/>
          <w:szCs w:val="44"/>
        </w:rPr>
        <w:t>铜鼓县革命文物保护利用重点工程项目表（2022-2028年）</w:t>
      </w:r>
    </w:p>
    <w:tbl>
      <w:tblPr>
        <w:tblStyle w:val="18"/>
        <w:tblpPr w:leftFromText="180" w:rightFromText="180" w:vertAnchor="text" w:tblpXSpec="center" w:tblpY="312"/>
        <w:tblOverlap w:val="never"/>
        <w:tblW w:w="142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1657"/>
        <w:gridCol w:w="1984"/>
        <w:gridCol w:w="2835"/>
        <w:gridCol w:w="3119"/>
        <w:gridCol w:w="1842"/>
        <w:gridCol w:w="1078"/>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65" w:type="dxa"/>
            <w:vAlign w:val="center"/>
          </w:tcPr>
          <w:p>
            <w:pPr>
              <w:spacing w:line="300" w:lineRule="exact"/>
              <w:jc w:val="center"/>
              <w:rPr>
                <w:b/>
                <w:bCs/>
                <w:sz w:val="24"/>
              </w:rPr>
            </w:pPr>
            <w:r>
              <w:rPr>
                <w:rFonts w:hint="eastAsia"/>
                <w:b/>
                <w:bCs/>
                <w:sz w:val="24"/>
              </w:rPr>
              <w:t>序号</w:t>
            </w:r>
          </w:p>
        </w:tc>
        <w:tc>
          <w:tcPr>
            <w:tcW w:w="1657" w:type="dxa"/>
            <w:vAlign w:val="center"/>
          </w:tcPr>
          <w:p>
            <w:pPr>
              <w:spacing w:line="300" w:lineRule="exact"/>
              <w:jc w:val="center"/>
              <w:rPr>
                <w:b/>
                <w:bCs/>
                <w:sz w:val="24"/>
              </w:rPr>
            </w:pPr>
            <w:r>
              <w:rPr>
                <w:rFonts w:hint="eastAsia"/>
                <w:b/>
                <w:bCs/>
                <w:sz w:val="24"/>
              </w:rPr>
              <w:t>项目名称</w:t>
            </w:r>
          </w:p>
        </w:tc>
        <w:tc>
          <w:tcPr>
            <w:tcW w:w="1984" w:type="dxa"/>
            <w:vAlign w:val="center"/>
          </w:tcPr>
          <w:p>
            <w:pPr>
              <w:spacing w:line="300" w:lineRule="exact"/>
              <w:jc w:val="center"/>
              <w:rPr>
                <w:b/>
                <w:bCs/>
                <w:sz w:val="24"/>
              </w:rPr>
            </w:pPr>
            <w:r>
              <w:rPr>
                <w:rFonts w:hint="eastAsia"/>
                <w:b/>
                <w:bCs/>
                <w:sz w:val="24"/>
              </w:rPr>
              <w:t>修缮保护</w:t>
            </w:r>
          </w:p>
        </w:tc>
        <w:tc>
          <w:tcPr>
            <w:tcW w:w="2835" w:type="dxa"/>
            <w:vAlign w:val="center"/>
          </w:tcPr>
          <w:p>
            <w:pPr>
              <w:spacing w:line="300" w:lineRule="exact"/>
              <w:jc w:val="center"/>
              <w:rPr>
                <w:b/>
                <w:bCs/>
                <w:sz w:val="24"/>
              </w:rPr>
            </w:pPr>
            <w:r>
              <w:rPr>
                <w:rFonts w:hint="eastAsia"/>
                <w:b/>
                <w:bCs/>
                <w:sz w:val="24"/>
              </w:rPr>
              <w:t>展示利用</w:t>
            </w:r>
          </w:p>
        </w:tc>
        <w:tc>
          <w:tcPr>
            <w:tcW w:w="3119" w:type="dxa"/>
            <w:vAlign w:val="center"/>
          </w:tcPr>
          <w:p>
            <w:pPr>
              <w:spacing w:line="300" w:lineRule="exact"/>
              <w:jc w:val="center"/>
              <w:rPr>
                <w:b/>
                <w:bCs/>
                <w:sz w:val="24"/>
              </w:rPr>
            </w:pPr>
            <w:r>
              <w:rPr>
                <w:rFonts w:hint="eastAsia"/>
                <w:b/>
                <w:bCs/>
                <w:sz w:val="24"/>
              </w:rPr>
              <w:t>环境整治</w:t>
            </w:r>
          </w:p>
        </w:tc>
        <w:tc>
          <w:tcPr>
            <w:tcW w:w="1842" w:type="dxa"/>
            <w:vAlign w:val="center"/>
          </w:tcPr>
          <w:p>
            <w:pPr>
              <w:spacing w:line="300" w:lineRule="exact"/>
              <w:jc w:val="center"/>
              <w:rPr>
                <w:b/>
                <w:bCs/>
                <w:sz w:val="24"/>
              </w:rPr>
            </w:pPr>
            <w:r>
              <w:rPr>
                <w:rFonts w:hint="eastAsia"/>
                <w:b/>
                <w:bCs/>
                <w:sz w:val="24"/>
              </w:rPr>
              <w:t>“三防”工程</w:t>
            </w:r>
          </w:p>
        </w:tc>
        <w:tc>
          <w:tcPr>
            <w:tcW w:w="1078" w:type="dxa"/>
            <w:vAlign w:val="center"/>
          </w:tcPr>
          <w:p>
            <w:pPr>
              <w:spacing w:line="300" w:lineRule="exact"/>
              <w:jc w:val="center"/>
              <w:rPr>
                <w:b/>
                <w:bCs/>
                <w:sz w:val="24"/>
              </w:rPr>
            </w:pPr>
            <w:r>
              <w:rPr>
                <w:rFonts w:hint="eastAsia"/>
                <w:b/>
                <w:bCs/>
                <w:sz w:val="24"/>
              </w:rPr>
              <w:t>预期完成时间</w:t>
            </w:r>
          </w:p>
        </w:tc>
        <w:tc>
          <w:tcPr>
            <w:tcW w:w="1274" w:type="dxa"/>
            <w:vAlign w:val="center"/>
          </w:tcPr>
          <w:p>
            <w:pPr>
              <w:spacing w:line="300" w:lineRule="exact"/>
              <w:jc w:val="center"/>
              <w:rPr>
                <w:b/>
                <w:bCs/>
                <w:sz w:val="24"/>
              </w:rPr>
            </w:pPr>
            <w:r>
              <w:rPr>
                <w:rFonts w:hint="eastAsia"/>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5" w:type="dxa"/>
            <w:vAlign w:val="center"/>
          </w:tcPr>
          <w:p>
            <w:pPr>
              <w:spacing w:line="300" w:lineRule="exact"/>
              <w:rPr>
                <w:sz w:val="24"/>
              </w:rPr>
            </w:pPr>
            <w:r>
              <w:rPr>
                <w:rFonts w:hint="eastAsia"/>
                <w:sz w:val="24"/>
              </w:rPr>
              <w:t>1</w:t>
            </w:r>
          </w:p>
        </w:tc>
        <w:tc>
          <w:tcPr>
            <w:tcW w:w="1657" w:type="dxa"/>
            <w:vAlign w:val="center"/>
          </w:tcPr>
          <w:p>
            <w:pPr>
              <w:spacing w:line="300" w:lineRule="exact"/>
              <w:rPr>
                <w:sz w:val="24"/>
              </w:rPr>
            </w:pPr>
            <w:r>
              <w:rPr>
                <w:rFonts w:hint="eastAsia" w:hAnsi="宋体" w:cs="宋体"/>
                <w:sz w:val="24"/>
              </w:rPr>
              <w:t>秋收起义部队新兵训练处旧址</w:t>
            </w:r>
          </w:p>
        </w:tc>
        <w:tc>
          <w:tcPr>
            <w:tcW w:w="1984" w:type="dxa"/>
            <w:vAlign w:val="center"/>
          </w:tcPr>
          <w:p>
            <w:pPr>
              <w:spacing w:line="300" w:lineRule="exact"/>
              <w:rPr>
                <w:sz w:val="24"/>
              </w:rPr>
            </w:pPr>
            <w:r>
              <w:rPr>
                <w:rFonts w:hint="eastAsia"/>
                <w:sz w:val="24"/>
              </w:rPr>
              <w:t>对旧址本体、围墙等残损部分进行修复。</w:t>
            </w:r>
          </w:p>
        </w:tc>
        <w:tc>
          <w:tcPr>
            <w:tcW w:w="2835" w:type="dxa"/>
            <w:vAlign w:val="center"/>
          </w:tcPr>
          <w:p>
            <w:pPr>
              <w:spacing w:line="300" w:lineRule="exact"/>
              <w:rPr>
                <w:sz w:val="24"/>
              </w:rPr>
            </w:pPr>
            <w:r>
              <w:rPr>
                <w:rFonts w:hint="eastAsia"/>
                <w:sz w:val="24"/>
              </w:rPr>
              <w:t>1.专题展：武曲光威——传承中华文脉武德精神和古朴深厚的客家文化</w:t>
            </w:r>
          </w:p>
          <w:p>
            <w:pPr>
              <w:spacing w:line="300" w:lineRule="exact"/>
              <w:rPr>
                <w:sz w:val="24"/>
              </w:rPr>
            </w:pPr>
            <w:r>
              <w:rPr>
                <w:rFonts w:hint="eastAsia"/>
                <w:sz w:val="24"/>
              </w:rPr>
              <w:t>2.</w:t>
            </w:r>
            <w:r>
              <w:rPr>
                <w:rFonts w:hint="eastAsia"/>
                <w:sz w:val="24"/>
                <w:lang w:val="en-US" w:eastAsia="zh-CN"/>
              </w:rPr>
              <w:t>基本陈列</w:t>
            </w:r>
            <w:r>
              <w:rPr>
                <w:rFonts w:hint="eastAsia"/>
                <w:sz w:val="24"/>
              </w:rPr>
              <w:t>：训练新兵——中国革命道路的新起点</w:t>
            </w:r>
          </w:p>
        </w:tc>
        <w:tc>
          <w:tcPr>
            <w:tcW w:w="3119" w:type="dxa"/>
            <w:vAlign w:val="center"/>
          </w:tcPr>
          <w:p>
            <w:pPr>
              <w:spacing w:line="300" w:lineRule="exact"/>
              <w:rPr>
                <w:sz w:val="24"/>
              </w:rPr>
            </w:pPr>
            <w:r>
              <w:rPr>
                <w:rFonts w:hint="eastAsia"/>
                <w:sz w:val="24"/>
              </w:rPr>
              <w:t>1.美化院落环境。</w:t>
            </w:r>
          </w:p>
          <w:p>
            <w:pPr>
              <w:spacing w:line="300" w:lineRule="exact"/>
              <w:rPr>
                <w:sz w:val="24"/>
              </w:rPr>
            </w:pPr>
            <w:r>
              <w:rPr>
                <w:rFonts w:hint="eastAsia"/>
                <w:sz w:val="24"/>
              </w:rPr>
              <w:t>2.完善周边道路导视直达标识。</w:t>
            </w:r>
          </w:p>
        </w:tc>
        <w:tc>
          <w:tcPr>
            <w:tcW w:w="1842" w:type="dxa"/>
            <w:vAlign w:val="center"/>
          </w:tcPr>
          <w:p>
            <w:pPr>
              <w:spacing w:line="300" w:lineRule="exact"/>
              <w:rPr>
                <w:sz w:val="24"/>
              </w:rPr>
            </w:pPr>
            <w:r>
              <w:rPr>
                <w:rFonts w:hint="eastAsia"/>
                <w:sz w:val="24"/>
              </w:rPr>
              <w:t>实施消防、安防和防雷工程</w:t>
            </w:r>
          </w:p>
        </w:tc>
        <w:tc>
          <w:tcPr>
            <w:tcW w:w="1078" w:type="dxa"/>
            <w:vAlign w:val="center"/>
          </w:tcPr>
          <w:p>
            <w:pPr>
              <w:spacing w:line="300" w:lineRule="exact"/>
              <w:rPr>
                <w:sz w:val="24"/>
              </w:rPr>
            </w:pPr>
            <w:r>
              <w:rPr>
                <w:rFonts w:hint="eastAsia"/>
                <w:sz w:val="24"/>
              </w:rPr>
              <w:t>2024年12月</w:t>
            </w:r>
          </w:p>
        </w:tc>
        <w:tc>
          <w:tcPr>
            <w:tcW w:w="1274" w:type="dxa"/>
            <w:vAlign w:val="center"/>
          </w:tcPr>
          <w:p>
            <w:pPr>
              <w:spacing w:line="300" w:lineRule="exact"/>
              <w:rPr>
                <w:sz w:val="24"/>
              </w:rPr>
            </w:pPr>
            <w:r>
              <w:rPr>
                <w:rFonts w:hint="eastAsia"/>
                <w:sz w:val="24"/>
              </w:rPr>
              <w:t>申报“国保”项目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5" w:type="dxa"/>
            <w:vAlign w:val="center"/>
          </w:tcPr>
          <w:p>
            <w:pPr>
              <w:spacing w:line="300" w:lineRule="exact"/>
              <w:rPr>
                <w:sz w:val="24"/>
              </w:rPr>
            </w:pPr>
            <w:r>
              <w:rPr>
                <w:rFonts w:hint="eastAsia"/>
                <w:sz w:val="24"/>
              </w:rPr>
              <w:t>2</w:t>
            </w:r>
          </w:p>
        </w:tc>
        <w:tc>
          <w:tcPr>
            <w:tcW w:w="1657" w:type="dxa"/>
            <w:vAlign w:val="center"/>
          </w:tcPr>
          <w:p>
            <w:pPr>
              <w:spacing w:line="300" w:lineRule="exact"/>
              <w:rPr>
                <w:rFonts w:hAnsi="宋体" w:cs="宋体"/>
                <w:sz w:val="24"/>
              </w:rPr>
            </w:pPr>
            <w:r>
              <w:rPr>
                <w:rFonts w:hint="eastAsia" w:hAnsi="宋体" w:cs="宋体"/>
                <w:sz w:val="24"/>
              </w:rPr>
              <w:t>秋收起义纪念地景区</w:t>
            </w:r>
          </w:p>
        </w:tc>
        <w:tc>
          <w:tcPr>
            <w:tcW w:w="1984" w:type="dxa"/>
            <w:vAlign w:val="center"/>
          </w:tcPr>
          <w:p>
            <w:pPr>
              <w:spacing w:line="300" w:lineRule="exact"/>
              <w:rPr>
                <w:sz w:val="24"/>
              </w:rPr>
            </w:pPr>
            <w:r>
              <w:rPr>
                <w:rFonts w:hint="eastAsia"/>
                <w:sz w:val="24"/>
              </w:rPr>
              <w:t>1.毛泽东脱险地旧址（吴家祠)主体维修。</w:t>
            </w:r>
          </w:p>
          <w:p>
            <w:pPr>
              <w:spacing w:line="300" w:lineRule="exact"/>
              <w:rPr>
                <w:sz w:val="24"/>
              </w:rPr>
            </w:pPr>
            <w:r>
              <w:rPr>
                <w:rFonts w:hint="eastAsia"/>
                <w:sz w:val="24"/>
              </w:rPr>
              <w:t>2.湘赣边界秋收起义前敌委员会旧址（萧家祠）病虫害防治工程。</w:t>
            </w:r>
          </w:p>
        </w:tc>
        <w:tc>
          <w:tcPr>
            <w:tcW w:w="2835" w:type="dxa"/>
            <w:vAlign w:val="center"/>
          </w:tcPr>
          <w:p>
            <w:pPr>
              <w:spacing w:line="300" w:lineRule="exact"/>
              <w:rPr>
                <w:sz w:val="24"/>
              </w:rPr>
            </w:pPr>
            <w:r>
              <w:rPr>
                <w:rFonts w:hint="eastAsia"/>
                <w:sz w:val="24"/>
              </w:rPr>
              <w:t>1.化险地景区整体提升，包括业态丰富（如伟人精神文化走廊）、游线规划、文创开发等</w:t>
            </w:r>
          </w:p>
          <w:p>
            <w:pPr>
              <w:spacing w:line="300" w:lineRule="exact"/>
              <w:rPr>
                <w:sz w:val="24"/>
              </w:rPr>
            </w:pPr>
            <w:r>
              <w:rPr>
                <w:rFonts w:hint="eastAsia"/>
                <w:sz w:val="24"/>
              </w:rPr>
              <w:t>2.湘赣边界秋收起义前敌委员会旧址（萧家祠)复原陈展</w:t>
            </w:r>
          </w:p>
        </w:tc>
        <w:tc>
          <w:tcPr>
            <w:tcW w:w="3119" w:type="dxa"/>
            <w:vAlign w:val="center"/>
          </w:tcPr>
          <w:p>
            <w:pPr>
              <w:spacing w:line="300" w:lineRule="exact"/>
              <w:rPr>
                <w:sz w:val="24"/>
              </w:rPr>
            </w:pPr>
            <w:r>
              <w:rPr>
                <w:rFonts w:hint="eastAsia"/>
                <w:sz w:val="24"/>
              </w:rPr>
              <w:t>以湘</w:t>
            </w:r>
            <w:r>
              <w:rPr>
                <w:rFonts w:hint="eastAsia" w:cs="宋体"/>
                <w:sz w:val="24"/>
              </w:rPr>
              <w:t>赣边界秋收起义前敌委员会旧址（萧家祠）为中心，整合美食街、西湖公园、西湖广场、停车场等区域，对美食街等建筑进行立面改造、对西湖公园水域进行治理，并新建游客服务中心，谋划打造集参观、研学、休闲、购物、娱乐为一体的城区核心红色景区——秋收起义文化公园。</w:t>
            </w:r>
          </w:p>
        </w:tc>
        <w:tc>
          <w:tcPr>
            <w:tcW w:w="1842" w:type="dxa"/>
            <w:vAlign w:val="center"/>
          </w:tcPr>
          <w:p>
            <w:pPr>
              <w:spacing w:line="300" w:lineRule="exact"/>
              <w:rPr>
                <w:sz w:val="24"/>
              </w:rPr>
            </w:pPr>
            <w:r>
              <w:rPr>
                <w:rFonts w:hint="eastAsia"/>
                <w:sz w:val="24"/>
              </w:rPr>
              <w:t>毛泽东脱险地旧址实施消防、安防和防雷工程</w:t>
            </w:r>
          </w:p>
        </w:tc>
        <w:tc>
          <w:tcPr>
            <w:tcW w:w="1078" w:type="dxa"/>
            <w:vAlign w:val="center"/>
          </w:tcPr>
          <w:p>
            <w:pPr>
              <w:spacing w:line="300" w:lineRule="exact"/>
              <w:rPr>
                <w:sz w:val="24"/>
              </w:rPr>
            </w:pPr>
            <w:r>
              <w:rPr>
                <w:rFonts w:hint="eastAsia"/>
                <w:sz w:val="24"/>
              </w:rPr>
              <w:t>2025年12月</w:t>
            </w:r>
          </w:p>
        </w:tc>
        <w:tc>
          <w:tcPr>
            <w:tcW w:w="1274" w:type="dxa"/>
            <w:vAlign w:val="center"/>
          </w:tcPr>
          <w:p>
            <w:pPr>
              <w:spacing w:line="30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5" w:type="dxa"/>
            <w:vAlign w:val="center"/>
          </w:tcPr>
          <w:p>
            <w:pPr>
              <w:spacing w:line="300" w:lineRule="exact"/>
              <w:rPr>
                <w:sz w:val="24"/>
              </w:rPr>
            </w:pPr>
            <w:r>
              <w:rPr>
                <w:rFonts w:hint="eastAsia"/>
                <w:sz w:val="24"/>
              </w:rPr>
              <w:t>3</w:t>
            </w:r>
          </w:p>
        </w:tc>
        <w:tc>
          <w:tcPr>
            <w:tcW w:w="1657" w:type="dxa"/>
            <w:vAlign w:val="center"/>
          </w:tcPr>
          <w:p>
            <w:pPr>
              <w:spacing w:line="300" w:lineRule="exact"/>
              <w:rPr>
                <w:rFonts w:hAnsi="宋体" w:cs="宋体"/>
                <w:sz w:val="24"/>
              </w:rPr>
            </w:pPr>
            <w:r>
              <w:rPr>
                <w:rFonts w:hint="eastAsia" w:hAnsi="宋体" w:cs="宋体"/>
                <w:sz w:val="24"/>
              </w:rPr>
              <w:t>湘鄂赣革命旧址群</w:t>
            </w:r>
          </w:p>
        </w:tc>
        <w:tc>
          <w:tcPr>
            <w:tcW w:w="1984" w:type="dxa"/>
            <w:vAlign w:val="center"/>
          </w:tcPr>
          <w:p>
            <w:pPr>
              <w:spacing w:line="300" w:lineRule="exact"/>
              <w:rPr>
                <w:sz w:val="24"/>
              </w:rPr>
            </w:pPr>
            <w:r>
              <w:rPr>
                <w:rFonts w:hint="eastAsia"/>
                <w:sz w:val="24"/>
              </w:rPr>
              <w:t>对位于棋坪镇的湘鄂赣革命旧址，全面实施本体保护修缮，确保文物本体安全。</w:t>
            </w:r>
          </w:p>
        </w:tc>
        <w:tc>
          <w:tcPr>
            <w:tcW w:w="2835" w:type="dxa"/>
            <w:vAlign w:val="center"/>
          </w:tcPr>
          <w:p>
            <w:pPr>
              <w:spacing w:line="300" w:lineRule="exact"/>
              <w:rPr>
                <w:sz w:val="24"/>
              </w:rPr>
            </w:pPr>
            <w:r>
              <w:rPr>
                <w:rFonts w:hint="eastAsia"/>
                <w:sz w:val="24"/>
              </w:rPr>
              <w:t>提升县保以上不可移动革命文物展陈水平</w:t>
            </w:r>
          </w:p>
        </w:tc>
        <w:tc>
          <w:tcPr>
            <w:tcW w:w="3119" w:type="dxa"/>
            <w:vAlign w:val="center"/>
          </w:tcPr>
          <w:p>
            <w:pPr>
              <w:spacing w:line="300" w:lineRule="exact"/>
              <w:rPr>
                <w:sz w:val="24"/>
              </w:rPr>
            </w:pPr>
            <w:r>
              <w:rPr>
                <w:rFonts w:hint="eastAsia"/>
                <w:sz w:val="24"/>
              </w:rPr>
              <w:t>结合乡村振兴，整体提升棋坪镇乡村环境。</w:t>
            </w:r>
          </w:p>
        </w:tc>
        <w:tc>
          <w:tcPr>
            <w:tcW w:w="1842" w:type="dxa"/>
            <w:vAlign w:val="center"/>
          </w:tcPr>
          <w:p>
            <w:pPr>
              <w:spacing w:line="300" w:lineRule="exact"/>
              <w:rPr>
                <w:sz w:val="24"/>
              </w:rPr>
            </w:pPr>
            <w:r>
              <w:rPr>
                <w:rFonts w:hint="eastAsia"/>
                <w:sz w:val="24"/>
              </w:rPr>
              <w:t>省级革命文物保护单位消防、安防和防雷工程</w:t>
            </w:r>
          </w:p>
        </w:tc>
        <w:tc>
          <w:tcPr>
            <w:tcW w:w="1078" w:type="dxa"/>
            <w:vAlign w:val="center"/>
          </w:tcPr>
          <w:p>
            <w:pPr>
              <w:spacing w:line="300" w:lineRule="exact"/>
              <w:rPr>
                <w:sz w:val="24"/>
              </w:rPr>
            </w:pPr>
            <w:r>
              <w:rPr>
                <w:rFonts w:hint="eastAsia"/>
                <w:sz w:val="24"/>
              </w:rPr>
              <w:t>2028年12月</w:t>
            </w:r>
          </w:p>
        </w:tc>
        <w:tc>
          <w:tcPr>
            <w:tcW w:w="1274" w:type="dxa"/>
            <w:vAlign w:val="center"/>
          </w:tcPr>
          <w:p>
            <w:pPr>
              <w:spacing w:line="300" w:lineRule="exact"/>
              <w:rPr>
                <w:sz w:val="24"/>
              </w:rPr>
            </w:pPr>
            <w:r>
              <w:rPr>
                <w:rFonts w:hint="eastAsia"/>
                <w:sz w:val="24"/>
              </w:rPr>
              <w:t>湘鄂赣省苏维埃政府旧址申报“国保”项目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5" w:type="dxa"/>
            <w:vAlign w:val="center"/>
          </w:tcPr>
          <w:p>
            <w:pPr>
              <w:spacing w:line="300" w:lineRule="exact"/>
              <w:rPr>
                <w:sz w:val="24"/>
              </w:rPr>
            </w:pPr>
            <w:r>
              <w:rPr>
                <w:rFonts w:hint="eastAsia"/>
                <w:sz w:val="24"/>
              </w:rPr>
              <w:t>4</w:t>
            </w:r>
          </w:p>
        </w:tc>
        <w:tc>
          <w:tcPr>
            <w:tcW w:w="1657" w:type="dxa"/>
            <w:vAlign w:val="center"/>
          </w:tcPr>
          <w:p>
            <w:pPr>
              <w:spacing w:line="300" w:lineRule="exact"/>
              <w:rPr>
                <w:rFonts w:hAnsi="宋体" w:cs="宋体"/>
                <w:sz w:val="24"/>
              </w:rPr>
            </w:pPr>
            <w:r>
              <w:rPr>
                <w:rFonts w:hint="eastAsia" w:hAnsi="宋体" w:cs="宋体"/>
                <w:sz w:val="24"/>
              </w:rPr>
              <w:t>红十六军驻军旧址</w:t>
            </w:r>
          </w:p>
        </w:tc>
        <w:tc>
          <w:tcPr>
            <w:tcW w:w="1984" w:type="dxa"/>
            <w:vAlign w:val="center"/>
          </w:tcPr>
          <w:p>
            <w:pPr>
              <w:numPr>
                <w:ilvl w:val="255"/>
                <w:numId w:val="0"/>
              </w:numPr>
              <w:spacing w:line="300" w:lineRule="exact"/>
              <w:rPr>
                <w:sz w:val="24"/>
              </w:rPr>
            </w:pPr>
            <w:r>
              <w:rPr>
                <w:rFonts w:hint="eastAsia"/>
                <w:sz w:val="24"/>
              </w:rPr>
              <w:t>1.对红十六军驻军旧址进行全面修缮。</w:t>
            </w:r>
          </w:p>
          <w:p>
            <w:pPr>
              <w:numPr>
                <w:ilvl w:val="255"/>
                <w:numId w:val="0"/>
              </w:numPr>
              <w:spacing w:line="300" w:lineRule="exact"/>
              <w:rPr>
                <w:sz w:val="24"/>
              </w:rPr>
            </w:pPr>
            <w:r>
              <w:rPr>
                <w:rFonts w:hint="eastAsia"/>
                <w:sz w:val="24"/>
              </w:rPr>
              <w:t>2.对道路基础设施、周边环境进行全面整治。</w:t>
            </w:r>
          </w:p>
        </w:tc>
        <w:tc>
          <w:tcPr>
            <w:tcW w:w="2835" w:type="dxa"/>
            <w:vAlign w:val="center"/>
          </w:tcPr>
          <w:p>
            <w:pPr>
              <w:spacing w:line="300" w:lineRule="exact"/>
              <w:rPr>
                <w:sz w:val="24"/>
              </w:rPr>
            </w:pPr>
            <w:r>
              <w:rPr>
                <w:rFonts w:hint="eastAsia"/>
                <w:sz w:val="24"/>
              </w:rPr>
              <w:t>罗湾老屋复原陈列，并重点围绕“三条线”布展，即红十六军进入铜鼓历史，开展斗争的记录，多次战斗的还原；罗湾老屋红色标语背后故事延伸；祖孙三代守护老屋的红色精神传承故事。</w:t>
            </w:r>
          </w:p>
        </w:tc>
        <w:tc>
          <w:tcPr>
            <w:tcW w:w="3119" w:type="dxa"/>
            <w:vAlign w:val="center"/>
          </w:tcPr>
          <w:p>
            <w:pPr>
              <w:spacing w:line="300" w:lineRule="exact"/>
              <w:rPr>
                <w:sz w:val="24"/>
              </w:rPr>
            </w:pPr>
            <w:r>
              <w:rPr>
                <w:rFonts w:hint="eastAsia" w:cs="宋体"/>
                <w:sz w:val="24"/>
              </w:rPr>
              <w:t>旧址周边环境整治，新建停车场，打造铜鼓革命标语文化纪念园，延展红色文化资源。</w:t>
            </w:r>
          </w:p>
        </w:tc>
        <w:tc>
          <w:tcPr>
            <w:tcW w:w="1842" w:type="dxa"/>
            <w:vAlign w:val="center"/>
          </w:tcPr>
          <w:p>
            <w:pPr>
              <w:spacing w:line="300" w:lineRule="exact"/>
              <w:rPr>
                <w:sz w:val="24"/>
              </w:rPr>
            </w:pPr>
            <w:r>
              <w:rPr>
                <w:rFonts w:hint="eastAsia"/>
                <w:sz w:val="24"/>
              </w:rPr>
              <w:t>实施消防、安防和防雷工程</w:t>
            </w:r>
          </w:p>
        </w:tc>
        <w:tc>
          <w:tcPr>
            <w:tcW w:w="1078" w:type="dxa"/>
            <w:vAlign w:val="center"/>
          </w:tcPr>
          <w:p>
            <w:pPr>
              <w:spacing w:line="300" w:lineRule="exact"/>
              <w:rPr>
                <w:sz w:val="24"/>
              </w:rPr>
            </w:pPr>
            <w:r>
              <w:rPr>
                <w:rFonts w:hint="eastAsia"/>
                <w:sz w:val="24"/>
              </w:rPr>
              <w:t>2026年12月</w:t>
            </w:r>
          </w:p>
        </w:tc>
        <w:tc>
          <w:tcPr>
            <w:tcW w:w="1274" w:type="dxa"/>
            <w:vAlign w:val="center"/>
          </w:tcPr>
          <w:p>
            <w:pPr>
              <w:spacing w:line="300" w:lineRule="exact"/>
              <w:rPr>
                <w:sz w:val="24"/>
              </w:rPr>
            </w:pPr>
            <w:r>
              <w:rPr>
                <w:rFonts w:hint="eastAsia"/>
                <w:sz w:val="24"/>
              </w:rPr>
              <w:t>申报“省保”项目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5" w:type="dxa"/>
            <w:vAlign w:val="center"/>
          </w:tcPr>
          <w:p>
            <w:pPr>
              <w:spacing w:line="300" w:lineRule="exact"/>
              <w:rPr>
                <w:sz w:val="24"/>
              </w:rPr>
            </w:pPr>
            <w:r>
              <w:rPr>
                <w:rFonts w:hint="eastAsia"/>
                <w:sz w:val="24"/>
              </w:rPr>
              <w:t>5</w:t>
            </w:r>
          </w:p>
        </w:tc>
        <w:tc>
          <w:tcPr>
            <w:tcW w:w="1657" w:type="dxa"/>
            <w:vAlign w:val="center"/>
          </w:tcPr>
          <w:p>
            <w:pPr>
              <w:spacing w:line="300" w:lineRule="exact"/>
              <w:rPr>
                <w:rFonts w:hAnsi="宋体" w:cs="宋体"/>
                <w:sz w:val="24"/>
              </w:rPr>
            </w:pPr>
            <w:r>
              <w:rPr>
                <w:rFonts w:hint="eastAsia" w:hAnsi="宋体" w:cs="宋体"/>
                <w:sz w:val="24"/>
              </w:rPr>
              <w:t>中国工农革命军第一师三团一营营部旧址</w:t>
            </w:r>
          </w:p>
        </w:tc>
        <w:tc>
          <w:tcPr>
            <w:tcW w:w="1984" w:type="dxa"/>
            <w:vAlign w:val="center"/>
          </w:tcPr>
          <w:p>
            <w:pPr>
              <w:numPr>
                <w:ilvl w:val="255"/>
                <w:numId w:val="0"/>
              </w:numPr>
              <w:spacing w:line="300" w:lineRule="exact"/>
              <w:rPr>
                <w:sz w:val="24"/>
              </w:rPr>
            </w:pPr>
            <w:r>
              <w:rPr>
                <w:rFonts w:hint="eastAsia"/>
                <w:sz w:val="24"/>
              </w:rPr>
              <w:t>1.实施中国工农革命军第一师三团一营营部旧址本体保护修缮工程。</w:t>
            </w:r>
          </w:p>
          <w:p>
            <w:pPr>
              <w:numPr>
                <w:ilvl w:val="255"/>
                <w:numId w:val="0"/>
              </w:numPr>
              <w:spacing w:line="300" w:lineRule="exact"/>
              <w:rPr>
                <w:sz w:val="24"/>
              </w:rPr>
            </w:pPr>
            <w:r>
              <w:rPr>
                <w:rFonts w:hint="eastAsia"/>
                <w:sz w:val="24"/>
              </w:rPr>
              <w:t>2.基础设施改造及对周边环境进行整体打造。</w:t>
            </w:r>
          </w:p>
        </w:tc>
        <w:tc>
          <w:tcPr>
            <w:tcW w:w="2835" w:type="dxa"/>
            <w:vAlign w:val="center"/>
          </w:tcPr>
          <w:p>
            <w:pPr>
              <w:spacing w:line="300" w:lineRule="exact"/>
              <w:rPr>
                <w:sz w:val="24"/>
              </w:rPr>
            </w:pPr>
            <w:r>
              <w:rPr>
                <w:rFonts w:hint="eastAsia"/>
                <w:sz w:val="24"/>
              </w:rPr>
              <w:t>拟以该旧址为依托，整合利用周边山水林田溪约380亩，通过项目招商，引入第三方打造集文创体验、研学培训等为一体的革命文物保护示范点。</w:t>
            </w:r>
          </w:p>
        </w:tc>
        <w:tc>
          <w:tcPr>
            <w:tcW w:w="3119" w:type="dxa"/>
            <w:vAlign w:val="center"/>
          </w:tcPr>
          <w:p>
            <w:pPr>
              <w:spacing w:line="300" w:lineRule="exact"/>
              <w:rPr>
                <w:sz w:val="24"/>
              </w:rPr>
            </w:pPr>
            <w:r>
              <w:rPr>
                <w:rFonts w:hint="eastAsia"/>
                <w:sz w:val="24"/>
              </w:rPr>
              <w:t>通过整体开发，完善奎光书院周边文化和旅游配套设施。</w:t>
            </w:r>
          </w:p>
        </w:tc>
        <w:tc>
          <w:tcPr>
            <w:tcW w:w="1842" w:type="dxa"/>
            <w:vAlign w:val="center"/>
          </w:tcPr>
          <w:p>
            <w:pPr>
              <w:spacing w:line="300" w:lineRule="exact"/>
              <w:rPr>
                <w:sz w:val="24"/>
              </w:rPr>
            </w:pPr>
            <w:r>
              <w:rPr>
                <w:rFonts w:hint="eastAsia"/>
                <w:sz w:val="24"/>
              </w:rPr>
              <w:t>实施消防、安防和防雷工程</w:t>
            </w:r>
          </w:p>
        </w:tc>
        <w:tc>
          <w:tcPr>
            <w:tcW w:w="1078" w:type="dxa"/>
            <w:vAlign w:val="center"/>
          </w:tcPr>
          <w:p>
            <w:pPr>
              <w:spacing w:line="300" w:lineRule="exact"/>
              <w:rPr>
                <w:sz w:val="24"/>
              </w:rPr>
            </w:pPr>
            <w:r>
              <w:rPr>
                <w:rFonts w:hint="eastAsia"/>
                <w:sz w:val="24"/>
              </w:rPr>
              <w:t>2025年12月</w:t>
            </w:r>
          </w:p>
        </w:tc>
        <w:tc>
          <w:tcPr>
            <w:tcW w:w="1274" w:type="dxa"/>
            <w:vAlign w:val="center"/>
          </w:tcPr>
          <w:p>
            <w:pPr>
              <w:spacing w:line="300" w:lineRule="exact"/>
              <w:rPr>
                <w:sz w:val="24"/>
              </w:rPr>
            </w:pPr>
            <w:r>
              <w:rPr>
                <w:rFonts w:hint="eastAsia"/>
                <w:sz w:val="24"/>
              </w:rPr>
              <w:t>申报“国保”项目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5" w:type="dxa"/>
            <w:vAlign w:val="center"/>
          </w:tcPr>
          <w:p>
            <w:pPr>
              <w:spacing w:line="300" w:lineRule="exact"/>
              <w:rPr>
                <w:sz w:val="24"/>
              </w:rPr>
            </w:pPr>
            <w:r>
              <w:rPr>
                <w:rFonts w:hint="eastAsia"/>
                <w:sz w:val="24"/>
              </w:rPr>
              <w:t>6</w:t>
            </w:r>
          </w:p>
        </w:tc>
        <w:tc>
          <w:tcPr>
            <w:tcW w:w="1657" w:type="dxa"/>
            <w:vAlign w:val="center"/>
          </w:tcPr>
          <w:p>
            <w:pPr>
              <w:spacing w:line="300" w:lineRule="exact"/>
              <w:rPr>
                <w:rFonts w:hAnsi="宋体" w:cs="宋体"/>
                <w:sz w:val="24"/>
              </w:rPr>
            </w:pPr>
            <w:r>
              <w:rPr>
                <w:rFonts w:hint="eastAsia" w:hAnsi="宋体" w:cs="宋体"/>
                <w:sz w:val="24"/>
              </w:rPr>
              <w:t>秋收起义沉浸式体验馆</w:t>
            </w:r>
          </w:p>
        </w:tc>
        <w:tc>
          <w:tcPr>
            <w:tcW w:w="1984" w:type="dxa"/>
            <w:vAlign w:val="center"/>
          </w:tcPr>
          <w:p>
            <w:pPr>
              <w:spacing w:line="300" w:lineRule="exact"/>
              <w:rPr>
                <w:sz w:val="24"/>
              </w:rPr>
            </w:pPr>
            <w:r>
              <w:rPr>
                <w:rFonts w:hint="eastAsia"/>
                <w:sz w:val="24"/>
              </w:rPr>
              <w:t>在城区新建红色VR体验馆，与秋收起义铜鼓纪念馆融汇成片，形成红色主题街区。</w:t>
            </w:r>
          </w:p>
        </w:tc>
        <w:tc>
          <w:tcPr>
            <w:tcW w:w="2835" w:type="dxa"/>
            <w:vAlign w:val="center"/>
          </w:tcPr>
          <w:p>
            <w:pPr>
              <w:spacing w:line="300" w:lineRule="exact"/>
              <w:rPr>
                <w:sz w:val="24"/>
              </w:rPr>
            </w:pPr>
            <w:r>
              <w:rPr>
                <w:rFonts w:hint="eastAsia"/>
                <w:sz w:val="24"/>
              </w:rPr>
              <w:t>利用现有场馆，增加铜鼓红色文化展示内容。</w:t>
            </w:r>
          </w:p>
        </w:tc>
        <w:tc>
          <w:tcPr>
            <w:tcW w:w="3119" w:type="dxa"/>
            <w:vAlign w:val="center"/>
          </w:tcPr>
          <w:p>
            <w:pPr>
              <w:spacing w:line="300" w:lineRule="exact"/>
              <w:rPr>
                <w:sz w:val="24"/>
              </w:rPr>
            </w:pPr>
            <w:r>
              <w:rPr>
                <w:rFonts w:hint="eastAsia"/>
                <w:sz w:val="24"/>
              </w:rPr>
              <w:t>结合乡村振兴和周边交通设施改善，增加导视系统，美化提升周边环境。</w:t>
            </w:r>
          </w:p>
        </w:tc>
        <w:tc>
          <w:tcPr>
            <w:tcW w:w="1842" w:type="dxa"/>
            <w:vAlign w:val="center"/>
          </w:tcPr>
          <w:p>
            <w:pPr>
              <w:spacing w:line="300" w:lineRule="exact"/>
              <w:rPr>
                <w:sz w:val="24"/>
              </w:rPr>
            </w:pPr>
            <w:r>
              <w:rPr>
                <w:rFonts w:hint="eastAsia"/>
                <w:sz w:val="24"/>
              </w:rPr>
              <w:t>实施消防、安防和防雷工程</w:t>
            </w:r>
          </w:p>
        </w:tc>
        <w:tc>
          <w:tcPr>
            <w:tcW w:w="1078" w:type="dxa"/>
            <w:vAlign w:val="center"/>
          </w:tcPr>
          <w:p>
            <w:pPr>
              <w:spacing w:line="300" w:lineRule="exact"/>
              <w:rPr>
                <w:sz w:val="24"/>
              </w:rPr>
            </w:pPr>
            <w:r>
              <w:rPr>
                <w:rFonts w:hint="eastAsia"/>
                <w:sz w:val="24"/>
              </w:rPr>
              <w:t>2025年12月</w:t>
            </w:r>
          </w:p>
        </w:tc>
        <w:tc>
          <w:tcPr>
            <w:tcW w:w="1274" w:type="dxa"/>
            <w:vAlign w:val="center"/>
          </w:tcPr>
          <w:p>
            <w:pPr>
              <w:spacing w:line="30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5" w:type="dxa"/>
            <w:vAlign w:val="center"/>
          </w:tcPr>
          <w:p>
            <w:pPr>
              <w:spacing w:line="300" w:lineRule="exact"/>
              <w:rPr>
                <w:sz w:val="24"/>
              </w:rPr>
            </w:pPr>
            <w:r>
              <w:rPr>
                <w:rFonts w:hint="eastAsia"/>
                <w:sz w:val="24"/>
              </w:rPr>
              <w:t>7</w:t>
            </w:r>
          </w:p>
        </w:tc>
        <w:tc>
          <w:tcPr>
            <w:tcW w:w="1657" w:type="dxa"/>
            <w:vAlign w:val="center"/>
          </w:tcPr>
          <w:p>
            <w:pPr>
              <w:spacing w:line="300" w:lineRule="exact"/>
              <w:rPr>
                <w:sz w:val="24"/>
              </w:rPr>
            </w:pPr>
            <w:r>
              <w:rPr>
                <w:rFonts w:hint="eastAsia"/>
                <w:sz w:val="24"/>
              </w:rPr>
              <w:t>工农革命军第一军第一师第三团回师铜鼓旧址</w:t>
            </w:r>
          </w:p>
        </w:tc>
        <w:tc>
          <w:tcPr>
            <w:tcW w:w="1984" w:type="dxa"/>
            <w:vAlign w:val="center"/>
          </w:tcPr>
          <w:p>
            <w:pPr>
              <w:spacing w:line="300" w:lineRule="exact"/>
              <w:rPr>
                <w:sz w:val="24"/>
              </w:rPr>
            </w:pPr>
            <w:r>
              <w:rPr>
                <w:rFonts w:hint="eastAsia"/>
                <w:sz w:val="24"/>
              </w:rPr>
              <w:t>旧址本体保护修缮工程</w:t>
            </w:r>
          </w:p>
        </w:tc>
        <w:tc>
          <w:tcPr>
            <w:tcW w:w="2835" w:type="dxa"/>
            <w:vAlign w:val="center"/>
          </w:tcPr>
          <w:p>
            <w:pPr>
              <w:spacing w:line="300" w:lineRule="exact"/>
              <w:rPr>
                <w:sz w:val="24"/>
              </w:rPr>
            </w:pPr>
            <w:r>
              <w:rPr>
                <w:rFonts w:hint="eastAsia"/>
                <w:sz w:val="24"/>
              </w:rPr>
              <w:t>完善展陈布置，提升展陈水平。</w:t>
            </w:r>
          </w:p>
        </w:tc>
        <w:tc>
          <w:tcPr>
            <w:tcW w:w="3119" w:type="dxa"/>
            <w:vAlign w:val="center"/>
          </w:tcPr>
          <w:p>
            <w:pPr>
              <w:spacing w:line="300" w:lineRule="exact"/>
              <w:rPr>
                <w:sz w:val="24"/>
              </w:rPr>
            </w:pPr>
            <w:r>
              <w:rPr>
                <w:rFonts w:hint="eastAsia"/>
                <w:sz w:val="24"/>
              </w:rPr>
              <w:t>以该旧址为中心，打造“燈星台”景区。</w:t>
            </w:r>
          </w:p>
        </w:tc>
        <w:tc>
          <w:tcPr>
            <w:tcW w:w="1842" w:type="dxa"/>
            <w:vAlign w:val="center"/>
          </w:tcPr>
          <w:p>
            <w:pPr>
              <w:spacing w:line="300" w:lineRule="exact"/>
              <w:rPr>
                <w:sz w:val="24"/>
              </w:rPr>
            </w:pPr>
            <w:r>
              <w:rPr>
                <w:rFonts w:hint="eastAsia"/>
                <w:sz w:val="24"/>
              </w:rPr>
              <w:t>实施消防、安防和防雷工程</w:t>
            </w:r>
          </w:p>
        </w:tc>
        <w:tc>
          <w:tcPr>
            <w:tcW w:w="1078" w:type="dxa"/>
            <w:vAlign w:val="center"/>
          </w:tcPr>
          <w:p>
            <w:pPr>
              <w:spacing w:line="300" w:lineRule="exact"/>
              <w:rPr>
                <w:sz w:val="24"/>
              </w:rPr>
            </w:pPr>
            <w:r>
              <w:rPr>
                <w:rFonts w:hint="eastAsia"/>
                <w:sz w:val="24"/>
              </w:rPr>
              <w:t>2025年12月</w:t>
            </w:r>
          </w:p>
        </w:tc>
        <w:tc>
          <w:tcPr>
            <w:tcW w:w="1274" w:type="dxa"/>
            <w:vAlign w:val="center"/>
          </w:tcPr>
          <w:p>
            <w:pPr>
              <w:spacing w:line="300" w:lineRule="exact"/>
              <w:rPr>
                <w:sz w:val="24"/>
              </w:rPr>
            </w:pPr>
            <w:r>
              <w:rPr>
                <w:rFonts w:hint="eastAsia"/>
                <w:sz w:val="24"/>
              </w:rPr>
              <w:t>申报“国保”项目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5" w:type="dxa"/>
            <w:vAlign w:val="center"/>
          </w:tcPr>
          <w:p>
            <w:pPr>
              <w:spacing w:line="300" w:lineRule="exact"/>
              <w:rPr>
                <w:sz w:val="24"/>
              </w:rPr>
            </w:pPr>
            <w:r>
              <w:rPr>
                <w:rFonts w:hint="eastAsia"/>
                <w:sz w:val="24"/>
              </w:rPr>
              <w:t>8</w:t>
            </w:r>
          </w:p>
        </w:tc>
        <w:tc>
          <w:tcPr>
            <w:tcW w:w="1657" w:type="dxa"/>
            <w:vAlign w:val="center"/>
          </w:tcPr>
          <w:p>
            <w:pPr>
              <w:spacing w:line="300" w:lineRule="exact"/>
              <w:rPr>
                <w:sz w:val="24"/>
              </w:rPr>
            </w:pPr>
            <w:r>
              <w:rPr>
                <w:rFonts w:hint="eastAsia"/>
                <w:sz w:val="24"/>
              </w:rPr>
              <w:t>秋收起义铜鼓纪念馆</w:t>
            </w:r>
          </w:p>
        </w:tc>
        <w:tc>
          <w:tcPr>
            <w:tcW w:w="1984" w:type="dxa"/>
            <w:vAlign w:val="center"/>
          </w:tcPr>
          <w:p>
            <w:pPr>
              <w:spacing w:line="300" w:lineRule="exact"/>
              <w:rPr>
                <w:sz w:val="24"/>
              </w:rPr>
            </w:pPr>
            <w:r>
              <w:rPr>
                <w:rFonts w:hint="eastAsia"/>
                <w:sz w:val="24"/>
              </w:rPr>
              <w:t>纪念馆主体进行加固</w:t>
            </w:r>
          </w:p>
        </w:tc>
        <w:tc>
          <w:tcPr>
            <w:tcW w:w="2835" w:type="dxa"/>
            <w:vAlign w:val="center"/>
          </w:tcPr>
          <w:p>
            <w:pPr>
              <w:spacing w:line="300" w:lineRule="exact"/>
              <w:rPr>
                <w:sz w:val="24"/>
              </w:rPr>
            </w:pPr>
            <w:r>
              <w:rPr>
                <w:rFonts w:hint="eastAsia"/>
                <w:sz w:val="24"/>
              </w:rPr>
              <w:t>改扩建秋收起义铜鼓纪念馆，同步启动新陈展大纲编制。</w:t>
            </w:r>
          </w:p>
        </w:tc>
        <w:tc>
          <w:tcPr>
            <w:tcW w:w="3119" w:type="dxa"/>
            <w:vAlign w:val="center"/>
          </w:tcPr>
          <w:p>
            <w:pPr>
              <w:spacing w:line="300" w:lineRule="exact"/>
              <w:rPr>
                <w:sz w:val="24"/>
              </w:rPr>
            </w:pPr>
            <w:r>
              <w:rPr>
                <w:rFonts w:hint="eastAsia" w:cs="宋体"/>
                <w:sz w:val="24"/>
              </w:rPr>
              <w:t>融入秋收起义文化公园改造项目，提升纪念馆整体环境。</w:t>
            </w:r>
          </w:p>
        </w:tc>
        <w:tc>
          <w:tcPr>
            <w:tcW w:w="1842" w:type="dxa"/>
            <w:vAlign w:val="center"/>
          </w:tcPr>
          <w:p>
            <w:pPr>
              <w:spacing w:line="300" w:lineRule="exact"/>
              <w:rPr>
                <w:sz w:val="24"/>
              </w:rPr>
            </w:pPr>
            <w:r>
              <w:rPr>
                <w:rFonts w:hint="eastAsia"/>
                <w:sz w:val="24"/>
              </w:rPr>
              <w:t>实施消防、安防和防雷工程</w:t>
            </w:r>
          </w:p>
        </w:tc>
        <w:tc>
          <w:tcPr>
            <w:tcW w:w="1078" w:type="dxa"/>
            <w:vAlign w:val="center"/>
          </w:tcPr>
          <w:p>
            <w:pPr>
              <w:spacing w:line="300" w:lineRule="exact"/>
              <w:rPr>
                <w:sz w:val="24"/>
              </w:rPr>
            </w:pPr>
            <w:r>
              <w:rPr>
                <w:rFonts w:hint="eastAsia"/>
                <w:sz w:val="24"/>
              </w:rPr>
              <w:t>2023年月12</w:t>
            </w:r>
          </w:p>
        </w:tc>
        <w:tc>
          <w:tcPr>
            <w:tcW w:w="1274" w:type="dxa"/>
            <w:vAlign w:val="center"/>
          </w:tcPr>
          <w:p>
            <w:pPr>
              <w:spacing w:line="30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5" w:type="dxa"/>
            <w:vAlign w:val="center"/>
          </w:tcPr>
          <w:p>
            <w:pPr>
              <w:spacing w:line="300" w:lineRule="exact"/>
              <w:rPr>
                <w:sz w:val="24"/>
              </w:rPr>
            </w:pPr>
            <w:r>
              <w:rPr>
                <w:rFonts w:hint="eastAsia"/>
                <w:sz w:val="24"/>
              </w:rPr>
              <w:t>9</w:t>
            </w:r>
          </w:p>
        </w:tc>
        <w:tc>
          <w:tcPr>
            <w:tcW w:w="1657" w:type="dxa"/>
            <w:vAlign w:val="center"/>
          </w:tcPr>
          <w:p>
            <w:pPr>
              <w:spacing w:line="300" w:lineRule="exact"/>
              <w:rPr>
                <w:sz w:val="24"/>
              </w:rPr>
            </w:pPr>
            <w:r>
              <w:rPr>
                <w:rFonts w:hint="eastAsia"/>
                <w:sz w:val="24"/>
              </w:rPr>
              <w:t>铜鼓县革命文物数字化保护项目</w:t>
            </w:r>
          </w:p>
        </w:tc>
        <w:tc>
          <w:tcPr>
            <w:tcW w:w="1984" w:type="dxa"/>
            <w:vAlign w:val="center"/>
          </w:tcPr>
          <w:p>
            <w:pPr>
              <w:spacing w:line="300" w:lineRule="exact"/>
              <w:rPr>
                <w:sz w:val="24"/>
              </w:rPr>
            </w:pPr>
            <w:r>
              <w:rPr>
                <w:rFonts w:hint="eastAsia"/>
                <w:sz w:val="24"/>
              </w:rPr>
              <w:t>1.搭建综合服务平台。</w:t>
            </w:r>
          </w:p>
          <w:p>
            <w:pPr>
              <w:spacing w:line="300" w:lineRule="exact"/>
              <w:rPr>
                <w:sz w:val="24"/>
              </w:rPr>
            </w:pPr>
            <w:r>
              <w:rPr>
                <w:rFonts w:hint="eastAsia"/>
                <w:sz w:val="24"/>
              </w:rPr>
              <w:t>2.对一级馆藏文物进行数字化采集。</w:t>
            </w:r>
          </w:p>
          <w:p>
            <w:pPr>
              <w:spacing w:line="300" w:lineRule="exact"/>
              <w:rPr>
                <w:sz w:val="24"/>
              </w:rPr>
            </w:pPr>
            <w:r>
              <w:rPr>
                <w:rFonts w:hint="eastAsia"/>
                <w:sz w:val="24"/>
              </w:rPr>
              <w:t>3.对省级及以上不可移动文物进行数字化信息采集，打造全景虚拟展厅。</w:t>
            </w:r>
          </w:p>
        </w:tc>
        <w:tc>
          <w:tcPr>
            <w:tcW w:w="2835" w:type="dxa"/>
            <w:vAlign w:val="center"/>
          </w:tcPr>
          <w:p>
            <w:pPr>
              <w:spacing w:line="300" w:lineRule="exact"/>
              <w:rPr>
                <w:sz w:val="24"/>
              </w:rPr>
            </w:pPr>
            <w:r>
              <w:rPr>
                <w:rFonts w:hint="eastAsia"/>
                <w:sz w:val="24"/>
              </w:rPr>
              <w:t>数字平台展示</w:t>
            </w:r>
          </w:p>
        </w:tc>
        <w:tc>
          <w:tcPr>
            <w:tcW w:w="3119" w:type="dxa"/>
            <w:vAlign w:val="center"/>
          </w:tcPr>
          <w:p>
            <w:pPr>
              <w:spacing w:line="300" w:lineRule="exact"/>
              <w:rPr>
                <w:sz w:val="24"/>
              </w:rPr>
            </w:pPr>
          </w:p>
        </w:tc>
        <w:tc>
          <w:tcPr>
            <w:tcW w:w="1842" w:type="dxa"/>
            <w:vAlign w:val="center"/>
          </w:tcPr>
          <w:p>
            <w:pPr>
              <w:spacing w:line="300" w:lineRule="exact"/>
              <w:rPr>
                <w:sz w:val="24"/>
              </w:rPr>
            </w:pPr>
          </w:p>
        </w:tc>
        <w:tc>
          <w:tcPr>
            <w:tcW w:w="1078" w:type="dxa"/>
            <w:vAlign w:val="center"/>
          </w:tcPr>
          <w:p>
            <w:pPr>
              <w:spacing w:line="300" w:lineRule="exact"/>
              <w:rPr>
                <w:sz w:val="24"/>
              </w:rPr>
            </w:pPr>
            <w:r>
              <w:rPr>
                <w:rFonts w:hint="eastAsia"/>
                <w:sz w:val="24"/>
              </w:rPr>
              <w:t>2025年12月</w:t>
            </w:r>
          </w:p>
        </w:tc>
        <w:tc>
          <w:tcPr>
            <w:tcW w:w="1274" w:type="dxa"/>
            <w:vAlign w:val="center"/>
          </w:tcPr>
          <w:p>
            <w:pPr>
              <w:spacing w:line="30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5" w:type="dxa"/>
            <w:vAlign w:val="center"/>
          </w:tcPr>
          <w:p>
            <w:pPr>
              <w:spacing w:line="300" w:lineRule="exact"/>
              <w:rPr>
                <w:sz w:val="24"/>
              </w:rPr>
            </w:pPr>
            <w:r>
              <w:rPr>
                <w:rFonts w:hint="eastAsia"/>
                <w:sz w:val="24"/>
              </w:rPr>
              <w:t>10</w:t>
            </w:r>
          </w:p>
        </w:tc>
        <w:tc>
          <w:tcPr>
            <w:tcW w:w="1657" w:type="dxa"/>
            <w:vAlign w:val="center"/>
          </w:tcPr>
          <w:p>
            <w:pPr>
              <w:spacing w:line="300" w:lineRule="exact"/>
              <w:rPr>
                <w:sz w:val="24"/>
              </w:rPr>
            </w:pPr>
            <w:r>
              <w:rPr>
                <w:rFonts w:hint="eastAsia"/>
                <w:sz w:val="24"/>
              </w:rPr>
              <w:t>文物安全监管平台</w:t>
            </w:r>
          </w:p>
        </w:tc>
        <w:tc>
          <w:tcPr>
            <w:tcW w:w="1984" w:type="dxa"/>
            <w:vAlign w:val="center"/>
          </w:tcPr>
          <w:p>
            <w:pPr>
              <w:spacing w:line="300" w:lineRule="exact"/>
              <w:rPr>
                <w:sz w:val="24"/>
              </w:rPr>
            </w:pPr>
            <w:r>
              <w:rPr>
                <w:rFonts w:hint="eastAsia"/>
                <w:sz w:val="24"/>
              </w:rPr>
              <w:t>搭建文物安全监管平台</w:t>
            </w:r>
          </w:p>
        </w:tc>
        <w:tc>
          <w:tcPr>
            <w:tcW w:w="2835" w:type="dxa"/>
            <w:vAlign w:val="center"/>
          </w:tcPr>
          <w:p>
            <w:pPr>
              <w:spacing w:line="300" w:lineRule="exact"/>
              <w:rPr>
                <w:sz w:val="24"/>
              </w:rPr>
            </w:pPr>
          </w:p>
        </w:tc>
        <w:tc>
          <w:tcPr>
            <w:tcW w:w="3119" w:type="dxa"/>
            <w:vAlign w:val="center"/>
          </w:tcPr>
          <w:p>
            <w:pPr>
              <w:spacing w:line="300" w:lineRule="exact"/>
              <w:rPr>
                <w:sz w:val="24"/>
              </w:rPr>
            </w:pPr>
          </w:p>
        </w:tc>
        <w:tc>
          <w:tcPr>
            <w:tcW w:w="1842" w:type="dxa"/>
            <w:vAlign w:val="center"/>
          </w:tcPr>
          <w:p>
            <w:pPr>
              <w:spacing w:line="300" w:lineRule="exact"/>
              <w:rPr>
                <w:sz w:val="24"/>
              </w:rPr>
            </w:pPr>
          </w:p>
        </w:tc>
        <w:tc>
          <w:tcPr>
            <w:tcW w:w="1078" w:type="dxa"/>
            <w:vAlign w:val="center"/>
          </w:tcPr>
          <w:p>
            <w:pPr>
              <w:spacing w:line="300" w:lineRule="exact"/>
              <w:rPr>
                <w:sz w:val="24"/>
              </w:rPr>
            </w:pPr>
            <w:r>
              <w:rPr>
                <w:rFonts w:hint="eastAsia"/>
                <w:sz w:val="24"/>
              </w:rPr>
              <w:t>2023年12月</w:t>
            </w:r>
          </w:p>
        </w:tc>
        <w:tc>
          <w:tcPr>
            <w:tcW w:w="1274" w:type="dxa"/>
            <w:vAlign w:val="center"/>
          </w:tcPr>
          <w:p>
            <w:pPr>
              <w:spacing w:line="30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5" w:type="dxa"/>
            <w:vAlign w:val="center"/>
          </w:tcPr>
          <w:p>
            <w:pPr>
              <w:spacing w:line="300" w:lineRule="exact"/>
              <w:rPr>
                <w:sz w:val="24"/>
              </w:rPr>
            </w:pPr>
            <w:r>
              <w:rPr>
                <w:rFonts w:hint="eastAsia"/>
                <w:sz w:val="24"/>
              </w:rPr>
              <w:t>11</w:t>
            </w:r>
          </w:p>
        </w:tc>
        <w:tc>
          <w:tcPr>
            <w:tcW w:w="1657" w:type="dxa"/>
            <w:vAlign w:val="center"/>
          </w:tcPr>
          <w:p>
            <w:pPr>
              <w:spacing w:line="300" w:lineRule="exact"/>
              <w:rPr>
                <w:sz w:val="24"/>
              </w:rPr>
            </w:pPr>
            <w:r>
              <w:rPr>
                <w:rFonts w:hint="eastAsia"/>
                <w:sz w:val="24"/>
              </w:rPr>
              <w:t>工农革命军一军一师三团五连旧址</w:t>
            </w:r>
          </w:p>
        </w:tc>
        <w:tc>
          <w:tcPr>
            <w:tcW w:w="1984" w:type="dxa"/>
            <w:vAlign w:val="center"/>
          </w:tcPr>
          <w:p>
            <w:pPr>
              <w:spacing w:line="300" w:lineRule="exact"/>
              <w:rPr>
                <w:sz w:val="24"/>
              </w:rPr>
            </w:pPr>
            <w:r>
              <w:rPr>
                <w:rFonts w:hint="eastAsia"/>
                <w:sz w:val="24"/>
              </w:rPr>
              <w:t>全面实施本体保护修缮</w:t>
            </w:r>
          </w:p>
        </w:tc>
        <w:tc>
          <w:tcPr>
            <w:tcW w:w="2835" w:type="dxa"/>
            <w:vAlign w:val="center"/>
          </w:tcPr>
          <w:p>
            <w:pPr>
              <w:spacing w:line="300" w:lineRule="exact"/>
              <w:rPr>
                <w:sz w:val="24"/>
              </w:rPr>
            </w:pPr>
            <w:r>
              <w:rPr>
                <w:rFonts w:hint="eastAsia"/>
                <w:sz w:val="24"/>
              </w:rPr>
              <w:t>完善展陈布置</w:t>
            </w:r>
          </w:p>
        </w:tc>
        <w:tc>
          <w:tcPr>
            <w:tcW w:w="3119" w:type="dxa"/>
            <w:vAlign w:val="center"/>
          </w:tcPr>
          <w:p>
            <w:pPr>
              <w:spacing w:line="300" w:lineRule="exact"/>
              <w:rPr>
                <w:sz w:val="24"/>
              </w:rPr>
            </w:pPr>
            <w:r>
              <w:rPr>
                <w:rFonts w:hint="eastAsia"/>
                <w:sz w:val="24"/>
              </w:rPr>
              <w:t>结合城市更新，增加导视系统，美化提升周边环境。</w:t>
            </w:r>
          </w:p>
        </w:tc>
        <w:tc>
          <w:tcPr>
            <w:tcW w:w="1842" w:type="dxa"/>
            <w:vAlign w:val="center"/>
          </w:tcPr>
          <w:p>
            <w:pPr>
              <w:spacing w:line="300" w:lineRule="exact"/>
              <w:rPr>
                <w:sz w:val="24"/>
              </w:rPr>
            </w:pPr>
          </w:p>
        </w:tc>
        <w:tc>
          <w:tcPr>
            <w:tcW w:w="1078" w:type="dxa"/>
            <w:vAlign w:val="center"/>
          </w:tcPr>
          <w:p>
            <w:pPr>
              <w:spacing w:line="300" w:lineRule="exact"/>
              <w:rPr>
                <w:sz w:val="24"/>
              </w:rPr>
            </w:pPr>
            <w:r>
              <w:rPr>
                <w:rFonts w:hint="eastAsia"/>
                <w:sz w:val="24"/>
              </w:rPr>
              <w:t>2026年12月</w:t>
            </w:r>
          </w:p>
        </w:tc>
        <w:tc>
          <w:tcPr>
            <w:tcW w:w="1274" w:type="dxa"/>
            <w:vAlign w:val="center"/>
          </w:tcPr>
          <w:p>
            <w:pPr>
              <w:spacing w:line="300" w:lineRule="exact"/>
              <w:rPr>
                <w:sz w:val="24"/>
              </w:rPr>
            </w:pPr>
            <w:r>
              <w:rPr>
                <w:rFonts w:hint="eastAsia"/>
                <w:sz w:val="24"/>
              </w:rPr>
              <w:t>申报“省保”项目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5" w:type="dxa"/>
            <w:vAlign w:val="center"/>
          </w:tcPr>
          <w:p>
            <w:pPr>
              <w:spacing w:line="300" w:lineRule="exact"/>
              <w:rPr>
                <w:sz w:val="24"/>
              </w:rPr>
            </w:pPr>
            <w:r>
              <w:rPr>
                <w:rFonts w:hint="eastAsia"/>
                <w:sz w:val="24"/>
              </w:rPr>
              <w:t>12</w:t>
            </w:r>
          </w:p>
        </w:tc>
        <w:tc>
          <w:tcPr>
            <w:tcW w:w="1657" w:type="dxa"/>
            <w:vAlign w:val="center"/>
          </w:tcPr>
          <w:p>
            <w:pPr>
              <w:spacing w:line="300" w:lineRule="exact"/>
              <w:rPr>
                <w:sz w:val="24"/>
              </w:rPr>
            </w:pPr>
            <w:r>
              <w:rPr>
                <w:rFonts w:hint="eastAsia"/>
                <w:sz w:val="24"/>
              </w:rPr>
              <w:t>红一军团驻地暨湘鄂赣省委旧址</w:t>
            </w:r>
          </w:p>
        </w:tc>
        <w:tc>
          <w:tcPr>
            <w:tcW w:w="1984" w:type="dxa"/>
            <w:vAlign w:val="center"/>
          </w:tcPr>
          <w:p>
            <w:pPr>
              <w:spacing w:line="300" w:lineRule="exact"/>
              <w:rPr>
                <w:sz w:val="24"/>
              </w:rPr>
            </w:pPr>
            <w:r>
              <w:rPr>
                <w:rFonts w:hint="eastAsia"/>
                <w:sz w:val="24"/>
              </w:rPr>
              <w:t>全面实施本体保护修缮</w:t>
            </w:r>
          </w:p>
        </w:tc>
        <w:tc>
          <w:tcPr>
            <w:tcW w:w="2835" w:type="dxa"/>
            <w:vAlign w:val="center"/>
          </w:tcPr>
          <w:p>
            <w:pPr>
              <w:spacing w:line="300" w:lineRule="exact"/>
              <w:rPr>
                <w:sz w:val="24"/>
              </w:rPr>
            </w:pPr>
            <w:r>
              <w:rPr>
                <w:rFonts w:hint="eastAsia"/>
                <w:sz w:val="24"/>
              </w:rPr>
              <w:t>完善展陈布置</w:t>
            </w:r>
          </w:p>
        </w:tc>
        <w:tc>
          <w:tcPr>
            <w:tcW w:w="3119" w:type="dxa"/>
            <w:vAlign w:val="center"/>
          </w:tcPr>
          <w:p>
            <w:pPr>
              <w:spacing w:line="300" w:lineRule="exact"/>
              <w:rPr>
                <w:sz w:val="24"/>
              </w:rPr>
            </w:pPr>
            <w:r>
              <w:rPr>
                <w:rFonts w:hint="eastAsia"/>
                <w:sz w:val="24"/>
              </w:rPr>
              <w:t>结合乡村振兴，增加导视系统，美化提升周边环境。</w:t>
            </w:r>
          </w:p>
        </w:tc>
        <w:tc>
          <w:tcPr>
            <w:tcW w:w="1842" w:type="dxa"/>
            <w:vAlign w:val="center"/>
          </w:tcPr>
          <w:p>
            <w:pPr>
              <w:spacing w:line="300" w:lineRule="exact"/>
              <w:rPr>
                <w:sz w:val="24"/>
              </w:rPr>
            </w:pPr>
          </w:p>
        </w:tc>
        <w:tc>
          <w:tcPr>
            <w:tcW w:w="1078" w:type="dxa"/>
            <w:vAlign w:val="center"/>
          </w:tcPr>
          <w:p>
            <w:pPr>
              <w:spacing w:line="300" w:lineRule="exact"/>
              <w:rPr>
                <w:sz w:val="24"/>
              </w:rPr>
            </w:pPr>
            <w:r>
              <w:rPr>
                <w:rFonts w:hint="eastAsia"/>
                <w:sz w:val="24"/>
              </w:rPr>
              <w:t>2028年12月</w:t>
            </w:r>
          </w:p>
        </w:tc>
        <w:tc>
          <w:tcPr>
            <w:tcW w:w="1274" w:type="dxa"/>
            <w:vAlign w:val="center"/>
          </w:tcPr>
          <w:p>
            <w:pPr>
              <w:spacing w:line="300" w:lineRule="exact"/>
              <w:rPr>
                <w:sz w:val="24"/>
              </w:rPr>
            </w:pPr>
            <w:r>
              <w:rPr>
                <w:rFonts w:hint="eastAsia"/>
                <w:sz w:val="24"/>
              </w:rPr>
              <w:t>申报“省保”项目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5" w:type="dxa"/>
            <w:vAlign w:val="center"/>
          </w:tcPr>
          <w:p>
            <w:pPr>
              <w:spacing w:line="300" w:lineRule="exact"/>
              <w:rPr>
                <w:sz w:val="24"/>
              </w:rPr>
            </w:pPr>
            <w:r>
              <w:rPr>
                <w:rFonts w:hint="eastAsia"/>
                <w:sz w:val="24"/>
              </w:rPr>
              <w:t>13</w:t>
            </w:r>
          </w:p>
        </w:tc>
        <w:tc>
          <w:tcPr>
            <w:tcW w:w="1657" w:type="dxa"/>
            <w:vAlign w:val="center"/>
          </w:tcPr>
          <w:p>
            <w:pPr>
              <w:spacing w:line="300" w:lineRule="exact"/>
              <w:rPr>
                <w:sz w:val="24"/>
              </w:rPr>
            </w:pPr>
            <w:r>
              <w:rPr>
                <w:rFonts w:hint="eastAsia"/>
                <w:sz w:val="24"/>
              </w:rPr>
              <w:t>首届中共铜鼓县委机关旧址</w:t>
            </w:r>
          </w:p>
        </w:tc>
        <w:tc>
          <w:tcPr>
            <w:tcW w:w="1984" w:type="dxa"/>
            <w:vAlign w:val="center"/>
          </w:tcPr>
          <w:p>
            <w:pPr>
              <w:spacing w:line="300" w:lineRule="exact"/>
              <w:rPr>
                <w:sz w:val="24"/>
              </w:rPr>
            </w:pPr>
            <w:r>
              <w:rPr>
                <w:rFonts w:hint="eastAsia"/>
                <w:sz w:val="24"/>
              </w:rPr>
              <w:t>全面实施本体保护修缮</w:t>
            </w:r>
          </w:p>
        </w:tc>
        <w:tc>
          <w:tcPr>
            <w:tcW w:w="2835" w:type="dxa"/>
            <w:vAlign w:val="center"/>
          </w:tcPr>
          <w:p>
            <w:pPr>
              <w:spacing w:line="300" w:lineRule="exact"/>
              <w:rPr>
                <w:sz w:val="24"/>
              </w:rPr>
            </w:pPr>
            <w:r>
              <w:rPr>
                <w:rFonts w:hint="eastAsia"/>
                <w:sz w:val="24"/>
              </w:rPr>
              <w:t>完善展陈布置</w:t>
            </w:r>
          </w:p>
        </w:tc>
        <w:tc>
          <w:tcPr>
            <w:tcW w:w="3119" w:type="dxa"/>
            <w:vAlign w:val="center"/>
          </w:tcPr>
          <w:p>
            <w:pPr>
              <w:spacing w:line="300" w:lineRule="exact"/>
              <w:rPr>
                <w:sz w:val="24"/>
              </w:rPr>
            </w:pPr>
            <w:r>
              <w:rPr>
                <w:rFonts w:hint="eastAsia"/>
                <w:sz w:val="24"/>
              </w:rPr>
              <w:t>结合乡村振兴，增加导视系统，美化提升周边环境。</w:t>
            </w:r>
          </w:p>
        </w:tc>
        <w:tc>
          <w:tcPr>
            <w:tcW w:w="1842" w:type="dxa"/>
            <w:vAlign w:val="center"/>
          </w:tcPr>
          <w:p>
            <w:pPr>
              <w:spacing w:line="300" w:lineRule="exact"/>
              <w:rPr>
                <w:sz w:val="24"/>
              </w:rPr>
            </w:pPr>
          </w:p>
        </w:tc>
        <w:tc>
          <w:tcPr>
            <w:tcW w:w="1078" w:type="dxa"/>
            <w:vAlign w:val="center"/>
          </w:tcPr>
          <w:p>
            <w:pPr>
              <w:spacing w:line="300" w:lineRule="exact"/>
              <w:rPr>
                <w:sz w:val="24"/>
              </w:rPr>
            </w:pPr>
            <w:r>
              <w:rPr>
                <w:rFonts w:hint="eastAsia"/>
                <w:sz w:val="24"/>
              </w:rPr>
              <w:t>2028年12月</w:t>
            </w:r>
          </w:p>
        </w:tc>
        <w:tc>
          <w:tcPr>
            <w:tcW w:w="1274" w:type="dxa"/>
            <w:vAlign w:val="center"/>
          </w:tcPr>
          <w:p>
            <w:pPr>
              <w:spacing w:line="300" w:lineRule="exact"/>
              <w:rPr>
                <w:sz w:val="24"/>
              </w:rPr>
            </w:pPr>
            <w:r>
              <w:rPr>
                <w:rFonts w:hint="eastAsia"/>
                <w:sz w:val="24"/>
              </w:rPr>
              <w:t>申报“省保”项目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5" w:type="dxa"/>
            <w:vAlign w:val="center"/>
          </w:tcPr>
          <w:p>
            <w:pPr>
              <w:spacing w:line="300" w:lineRule="exact"/>
              <w:rPr>
                <w:sz w:val="24"/>
              </w:rPr>
            </w:pPr>
            <w:r>
              <w:rPr>
                <w:rFonts w:hint="eastAsia"/>
                <w:sz w:val="24"/>
              </w:rPr>
              <w:t>14</w:t>
            </w:r>
          </w:p>
        </w:tc>
        <w:tc>
          <w:tcPr>
            <w:tcW w:w="1657" w:type="dxa"/>
            <w:vAlign w:val="center"/>
          </w:tcPr>
          <w:p>
            <w:pPr>
              <w:spacing w:line="300" w:lineRule="exact"/>
              <w:rPr>
                <w:sz w:val="24"/>
              </w:rPr>
            </w:pPr>
            <w:r>
              <w:rPr>
                <w:rFonts w:hint="eastAsia"/>
                <w:sz w:val="24"/>
              </w:rPr>
              <w:t>上庄纸业工会旧址</w:t>
            </w:r>
          </w:p>
        </w:tc>
        <w:tc>
          <w:tcPr>
            <w:tcW w:w="1984" w:type="dxa"/>
            <w:vAlign w:val="center"/>
          </w:tcPr>
          <w:p>
            <w:pPr>
              <w:spacing w:line="300" w:lineRule="exact"/>
              <w:rPr>
                <w:sz w:val="24"/>
              </w:rPr>
            </w:pPr>
            <w:r>
              <w:rPr>
                <w:rFonts w:hint="eastAsia"/>
                <w:sz w:val="24"/>
              </w:rPr>
              <w:t>实施本体保护修缮</w:t>
            </w:r>
          </w:p>
        </w:tc>
        <w:tc>
          <w:tcPr>
            <w:tcW w:w="2835" w:type="dxa"/>
            <w:vAlign w:val="center"/>
          </w:tcPr>
          <w:p>
            <w:pPr>
              <w:spacing w:line="300" w:lineRule="exact"/>
              <w:rPr>
                <w:sz w:val="24"/>
              </w:rPr>
            </w:pPr>
            <w:r>
              <w:rPr>
                <w:rFonts w:hint="eastAsia"/>
                <w:sz w:val="24"/>
              </w:rPr>
              <w:t>完善展陈布置</w:t>
            </w:r>
          </w:p>
        </w:tc>
        <w:tc>
          <w:tcPr>
            <w:tcW w:w="3119" w:type="dxa"/>
            <w:vAlign w:val="center"/>
          </w:tcPr>
          <w:p>
            <w:pPr>
              <w:spacing w:line="300" w:lineRule="exact"/>
              <w:rPr>
                <w:sz w:val="24"/>
              </w:rPr>
            </w:pPr>
            <w:r>
              <w:rPr>
                <w:rFonts w:hint="eastAsia"/>
                <w:sz w:val="24"/>
              </w:rPr>
              <w:t>结合乡村振兴，增加导视系统，美化提升周边环境。</w:t>
            </w:r>
          </w:p>
        </w:tc>
        <w:tc>
          <w:tcPr>
            <w:tcW w:w="1842" w:type="dxa"/>
            <w:vAlign w:val="center"/>
          </w:tcPr>
          <w:p>
            <w:pPr>
              <w:spacing w:line="300" w:lineRule="exact"/>
              <w:rPr>
                <w:sz w:val="24"/>
              </w:rPr>
            </w:pPr>
          </w:p>
        </w:tc>
        <w:tc>
          <w:tcPr>
            <w:tcW w:w="1078" w:type="dxa"/>
            <w:vAlign w:val="center"/>
          </w:tcPr>
          <w:p>
            <w:pPr>
              <w:spacing w:line="300" w:lineRule="exact"/>
              <w:rPr>
                <w:sz w:val="24"/>
              </w:rPr>
            </w:pPr>
            <w:r>
              <w:rPr>
                <w:rFonts w:hint="eastAsia"/>
                <w:sz w:val="24"/>
              </w:rPr>
              <w:t>2025年12月</w:t>
            </w:r>
          </w:p>
        </w:tc>
        <w:tc>
          <w:tcPr>
            <w:tcW w:w="1274" w:type="dxa"/>
            <w:vAlign w:val="center"/>
          </w:tcPr>
          <w:p>
            <w:pPr>
              <w:spacing w:line="30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5" w:type="dxa"/>
            <w:vAlign w:val="center"/>
          </w:tcPr>
          <w:p>
            <w:pPr>
              <w:spacing w:line="300" w:lineRule="exact"/>
              <w:rPr>
                <w:sz w:val="24"/>
              </w:rPr>
            </w:pPr>
            <w:r>
              <w:rPr>
                <w:rFonts w:hint="eastAsia"/>
                <w:sz w:val="24"/>
              </w:rPr>
              <w:t>15</w:t>
            </w:r>
          </w:p>
        </w:tc>
        <w:tc>
          <w:tcPr>
            <w:tcW w:w="1657" w:type="dxa"/>
            <w:vAlign w:val="center"/>
          </w:tcPr>
          <w:p>
            <w:pPr>
              <w:spacing w:line="300" w:lineRule="exact"/>
              <w:rPr>
                <w:sz w:val="24"/>
              </w:rPr>
            </w:pPr>
            <w:r>
              <w:rPr>
                <w:rFonts w:hint="eastAsia"/>
                <w:sz w:val="24"/>
              </w:rPr>
              <w:t>石桥秋收起义部队接待站旧址</w:t>
            </w:r>
          </w:p>
        </w:tc>
        <w:tc>
          <w:tcPr>
            <w:tcW w:w="1984" w:type="dxa"/>
            <w:vAlign w:val="center"/>
          </w:tcPr>
          <w:p>
            <w:pPr>
              <w:spacing w:line="300" w:lineRule="exact"/>
              <w:rPr>
                <w:sz w:val="24"/>
              </w:rPr>
            </w:pPr>
            <w:r>
              <w:rPr>
                <w:rFonts w:hint="eastAsia"/>
                <w:sz w:val="24"/>
              </w:rPr>
              <w:t>全面实施本体保护修缮</w:t>
            </w:r>
          </w:p>
        </w:tc>
        <w:tc>
          <w:tcPr>
            <w:tcW w:w="2835" w:type="dxa"/>
            <w:vAlign w:val="center"/>
          </w:tcPr>
          <w:p>
            <w:pPr>
              <w:spacing w:line="300" w:lineRule="exact"/>
              <w:rPr>
                <w:sz w:val="24"/>
              </w:rPr>
            </w:pPr>
            <w:r>
              <w:rPr>
                <w:rFonts w:hint="eastAsia"/>
                <w:sz w:val="24"/>
              </w:rPr>
              <w:t>完善展陈布置</w:t>
            </w:r>
          </w:p>
        </w:tc>
        <w:tc>
          <w:tcPr>
            <w:tcW w:w="3119" w:type="dxa"/>
            <w:vAlign w:val="center"/>
          </w:tcPr>
          <w:p>
            <w:pPr>
              <w:spacing w:line="300" w:lineRule="exact"/>
              <w:rPr>
                <w:sz w:val="24"/>
              </w:rPr>
            </w:pPr>
            <w:r>
              <w:rPr>
                <w:rFonts w:hint="eastAsia"/>
                <w:sz w:val="24"/>
              </w:rPr>
              <w:t>结合乡村振兴，增加导视系统，美化提升周边环境。</w:t>
            </w:r>
          </w:p>
        </w:tc>
        <w:tc>
          <w:tcPr>
            <w:tcW w:w="1842" w:type="dxa"/>
            <w:vAlign w:val="center"/>
          </w:tcPr>
          <w:p>
            <w:pPr>
              <w:spacing w:line="300" w:lineRule="exact"/>
              <w:rPr>
                <w:sz w:val="24"/>
              </w:rPr>
            </w:pPr>
          </w:p>
        </w:tc>
        <w:tc>
          <w:tcPr>
            <w:tcW w:w="1078" w:type="dxa"/>
            <w:vAlign w:val="center"/>
          </w:tcPr>
          <w:p>
            <w:pPr>
              <w:spacing w:line="300" w:lineRule="exact"/>
              <w:rPr>
                <w:sz w:val="24"/>
              </w:rPr>
            </w:pPr>
            <w:r>
              <w:rPr>
                <w:rFonts w:hint="eastAsia"/>
                <w:sz w:val="24"/>
              </w:rPr>
              <w:t>2028年12月</w:t>
            </w:r>
          </w:p>
        </w:tc>
        <w:tc>
          <w:tcPr>
            <w:tcW w:w="1274" w:type="dxa"/>
            <w:vAlign w:val="center"/>
          </w:tcPr>
          <w:p>
            <w:pPr>
              <w:spacing w:line="30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5" w:type="dxa"/>
            <w:vAlign w:val="center"/>
          </w:tcPr>
          <w:p>
            <w:pPr>
              <w:spacing w:line="300" w:lineRule="exact"/>
              <w:rPr>
                <w:sz w:val="24"/>
              </w:rPr>
            </w:pPr>
            <w:r>
              <w:rPr>
                <w:rFonts w:hint="eastAsia"/>
                <w:sz w:val="24"/>
              </w:rPr>
              <w:t>16</w:t>
            </w:r>
          </w:p>
        </w:tc>
        <w:tc>
          <w:tcPr>
            <w:tcW w:w="1657" w:type="dxa"/>
            <w:vAlign w:val="center"/>
          </w:tcPr>
          <w:p>
            <w:pPr>
              <w:spacing w:line="300" w:lineRule="exact"/>
              <w:rPr>
                <w:sz w:val="24"/>
              </w:rPr>
            </w:pPr>
            <w:r>
              <w:rPr>
                <w:rFonts w:hint="eastAsia"/>
                <w:sz w:val="24"/>
              </w:rPr>
              <w:t>带溪谈判旧址</w:t>
            </w:r>
          </w:p>
        </w:tc>
        <w:tc>
          <w:tcPr>
            <w:tcW w:w="1984" w:type="dxa"/>
            <w:vAlign w:val="center"/>
          </w:tcPr>
          <w:p>
            <w:pPr>
              <w:spacing w:line="300" w:lineRule="exact"/>
              <w:rPr>
                <w:sz w:val="24"/>
              </w:rPr>
            </w:pPr>
            <w:r>
              <w:rPr>
                <w:rFonts w:hint="eastAsia"/>
                <w:sz w:val="24"/>
              </w:rPr>
              <w:t>全面实施本体保护修缮</w:t>
            </w:r>
          </w:p>
        </w:tc>
        <w:tc>
          <w:tcPr>
            <w:tcW w:w="2835" w:type="dxa"/>
            <w:vAlign w:val="center"/>
          </w:tcPr>
          <w:p>
            <w:pPr>
              <w:spacing w:line="300" w:lineRule="exact"/>
              <w:rPr>
                <w:sz w:val="24"/>
              </w:rPr>
            </w:pPr>
            <w:r>
              <w:rPr>
                <w:rFonts w:hint="eastAsia"/>
                <w:sz w:val="24"/>
              </w:rPr>
              <w:t>完善展陈布置</w:t>
            </w:r>
          </w:p>
        </w:tc>
        <w:tc>
          <w:tcPr>
            <w:tcW w:w="3119" w:type="dxa"/>
            <w:vAlign w:val="center"/>
          </w:tcPr>
          <w:p>
            <w:pPr>
              <w:spacing w:line="300" w:lineRule="exact"/>
              <w:rPr>
                <w:sz w:val="24"/>
              </w:rPr>
            </w:pPr>
            <w:r>
              <w:rPr>
                <w:rFonts w:hint="eastAsia"/>
                <w:sz w:val="24"/>
              </w:rPr>
              <w:t>结合乡村振兴，增加导视系统，美化提升周边环境。</w:t>
            </w:r>
          </w:p>
        </w:tc>
        <w:tc>
          <w:tcPr>
            <w:tcW w:w="1842" w:type="dxa"/>
            <w:vAlign w:val="center"/>
          </w:tcPr>
          <w:p>
            <w:pPr>
              <w:spacing w:line="300" w:lineRule="exact"/>
              <w:rPr>
                <w:sz w:val="24"/>
              </w:rPr>
            </w:pPr>
          </w:p>
        </w:tc>
        <w:tc>
          <w:tcPr>
            <w:tcW w:w="1078" w:type="dxa"/>
            <w:vAlign w:val="center"/>
          </w:tcPr>
          <w:p>
            <w:pPr>
              <w:spacing w:line="300" w:lineRule="exact"/>
              <w:rPr>
                <w:sz w:val="24"/>
              </w:rPr>
            </w:pPr>
            <w:r>
              <w:rPr>
                <w:rFonts w:hint="eastAsia"/>
                <w:sz w:val="24"/>
              </w:rPr>
              <w:t>2028年12月</w:t>
            </w:r>
          </w:p>
        </w:tc>
        <w:tc>
          <w:tcPr>
            <w:tcW w:w="1274" w:type="dxa"/>
            <w:vAlign w:val="center"/>
          </w:tcPr>
          <w:p>
            <w:pPr>
              <w:spacing w:line="30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5" w:type="dxa"/>
            <w:vAlign w:val="center"/>
          </w:tcPr>
          <w:p>
            <w:pPr>
              <w:spacing w:line="300" w:lineRule="exact"/>
              <w:rPr>
                <w:sz w:val="24"/>
              </w:rPr>
            </w:pPr>
            <w:r>
              <w:rPr>
                <w:rFonts w:hint="eastAsia"/>
                <w:sz w:val="24"/>
              </w:rPr>
              <w:t>17</w:t>
            </w:r>
          </w:p>
        </w:tc>
        <w:tc>
          <w:tcPr>
            <w:tcW w:w="1657" w:type="dxa"/>
            <w:vAlign w:val="center"/>
          </w:tcPr>
          <w:p>
            <w:pPr>
              <w:spacing w:line="300" w:lineRule="exact"/>
              <w:rPr>
                <w:sz w:val="24"/>
              </w:rPr>
            </w:pPr>
            <w:r>
              <w:rPr>
                <w:rFonts w:hint="eastAsia"/>
                <w:sz w:val="24"/>
              </w:rPr>
              <w:t>铜鼓县游击大队和铜三区赤卫军驻地旧址</w:t>
            </w:r>
          </w:p>
        </w:tc>
        <w:tc>
          <w:tcPr>
            <w:tcW w:w="1984" w:type="dxa"/>
            <w:vAlign w:val="center"/>
          </w:tcPr>
          <w:p>
            <w:pPr>
              <w:spacing w:line="300" w:lineRule="exact"/>
              <w:rPr>
                <w:sz w:val="24"/>
              </w:rPr>
            </w:pPr>
            <w:r>
              <w:rPr>
                <w:rFonts w:hint="eastAsia"/>
                <w:sz w:val="24"/>
              </w:rPr>
              <w:t>全面实施本体保护修缮</w:t>
            </w:r>
          </w:p>
        </w:tc>
        <w:tc>
          <w:tcPr>
            <w:tcW w:w="2835" w:type="dxa"/>
            <w:vAlign w:val="center"/>
          </w:tcPr>
          <w:p>
            <w:pPr>
              <w:spacing w:line="300" w:lineRule="exact"/>
              <w:rPr>
                <w:sz w:val="24"/>
              </w:rPr>
            </w:pPr>
            <w:r>
              <w:rPr>
                <w:rFonts w:hint="eastAsia"/>
                <w:sz w:val="24"/>
              </w:rPr>
              <w:t>完善展陈布置</w:t>
            </w:r>
          </w:p>
        </w:tc>
        <w:tc>
          <w:tcPr>
            <w:tcW w:w="3119" w:type="dxa"/>
            <w:vAlign w:val="center"/>
          </w:tcPr>
          <w:p>
            <w:pPr>
              <w:spacing w:line="300" w:lineRule="exact"/>
              <w:rPr>
                <w:sz w:val="24"/>
              </w:rPr>
            </w:pPr>
            <w:r>
              <w:rPr>
                <w:rFonts w:hint="eastAsia"/>
                <w:sz w:val="24"/>
              </w:rPr>
              <w:t>结合乡村振兴，增加导视系统，美化提升周边环境。</w:t>
            </w:r>
          </w:p>
        </w:tc>
        <w:tc>
          <w:tcPr>
            <w:tcW w:w="1842" w:type="dxa"/>
            <w:vAlign w:val="center"/>
          </w:tcPr>
          <w:p>
            <w:pPr>
              <w:spacing w:line="300" w:lineRule="exact"/>
              <w:rPr>
                <w:sz w:val="24"/>
              </w:rPr>
            </w:pPr>
          </w:p>
        </w:tc>
        <w:tc>
          <w:tcPr>
            <w:tcW w:w="1078" w:type="dxa"/>
            <w:vAlign w:val="center"/>
          </w:tcPr>
          <w:p>
            <w:pPr>
              <w:spacing w:line="300" w:lineRule="exact"/>
              <w:rPr>
                <w:sz w:val="24"/>
              </w:rPr>
            </w:pPr>
            <w:r>
              <w:rPr>
                <w:rFonts w:hint="eastAsia"/>
                <w:sz w:val="24"/>
              </w:rPr>
              <w:t>2028年12月</w:t>
            </w:r>
          </w:p>
        </w:tc>
        <w:tc>
          <w:tcPr>
            <w:tcW w:w="1274" w:type="dxa"/>
            <w:vAlign w:val="center"/>
          </w:tcPr>
          <w:p>
            <w:pPr>
              <w:spacing w:line="30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5" w:type="dxa"/>
            <w:vAlign w:val="center"/>
          </w:tcPr>
          <w:p>
            <w:pPr>
              <w:spacing w:line="300" w:lineRule="exact"/>
              <w:rPr>
                <w:sz w:val="24"/>
              </w:rPr>
            </w:pPr>
            <w:r>
              <w:rPr>
                <w:rFonts w:hint="eastAsia"/>
                <w:sz w:val="24"/>
              </w:rPr>
              <w:t>18</w:t>
            </w:r>
          </w:p>
        </w:tc>
        <w:tc>
          <w:tcPr>
            <w:tcW w:w="1657" w:type="dxa"/>
            <w:vAlign w:val="center"/>
          </w:tcPr>
          <w:p>
            <w:pPr>
              <w:spacing w:line="300" w:lineRule="exact"/>
              <w:rPr>
                <w:sz w:val="24"/>
              </w:rPr>
            </w:pPr>
            <w:r>
              <w:rPr>
                <w:rFonts w:hint="eastAsia"/>
                <w:sz w:val="24"/>
              </w:rPr>
              <w:t xml:space="preserve">中共湘鄂赣边特区委暨铜鼓临时县委旧址 </w:t>
            </w:r>
          </w:p>
        </w:tc>
        <w:tc>
          <w:tcPr>
            <w:tcW w:w="1984" w:type="dxa"/>
            <w:vAlign w:val="center"/>
          </w:tcPr>
          <w:p>
            <w:pPr>
              <w:spacing w:line="300" w:lineRule="exact"/>
              <w:rPr>
                <w:sz w:val="24"/>
              </w:rPr>
            </w:pPr>
            <w:r>
              <w:rPr>
                <w:rFonts w:hint="eastAsia"/>
                <w:sz w:val="24"/>
              </w:rPr>
              <w:t>实施本体保护修缮</w:t>
            </w:r>
          </w:p>
        </w:tc>
        <w:tc>
          <w:tcPr>
            <w:tcW w:w="2835" w:type="dxa"/>
            <w:vAlign w:val="center"/>
          </w:tcPr>
          <w:p>
            <w:pPr>
              <w:spacing w:line="300" w:lineRule="exact"/>
              <w:rPr>
                <w:sz w:val="24"/>
              </w:rPr>
            </w:pPr>
            <w:r>
              <w:rPr>
                <w:rFonts w:hint="eastAsia"/>
                <w:sz w:val="24"/>
              </w:rPr>
              <w:t>完善展陈布置</w:t>
            </w:r>
          </w:p>
        </w:tc>
        <w:tc>
          <w:tcPr>
            <w:tcW w:w="3119" w:type="dxa"/>
            <w:vAlign w:val="center"/>
          </w:tcPr>
          <w:p>
            <w:pPr>
              <w:spacing w:line="300" w:lineRule="exact"/>
              <w:rPr>
                <w:sz w:val="24"/>
              </w:rPr>
            </w:pPr>
            <w:r>
              <w:rPr>
                <w:rFonts w:hint="eastAsia"/>
                <w:sz w:val="24"/>
              </w:rPr>
              <w:t>结合乡村振兴，增加导视系统，美化提升周边环境。</w:t>
            </w:r>
          </w:p>
        </w:tc>
        <w:tc>
          <w:tcPr>
            <w:tcW w:w="1842" w:type="dxa"/>
            <w:vAlign w:val="center"/>
          </w:tcPr>
          <w:p>
            <w:pPr>
              <w:spacing w:line="300" w:lineRule="exact"/>
              <w:rPr>
                <w:sz w:val="24"/>
              </w:rPr>
            </w:pPr>
          </w:p>
        </w:tc>
        <w:tc>
          <w:tcPr>
            <w:tcW w:w="1078" w:type="dxa"/>
            <w:vAlign w:val="center"/>
          </w:tcPr>
          <w:p>
            <w:pPr>
              <w:spacing w:line="300" w:lineRule="exact"/>
              <w:rPr>
                <w:sz w:val="24"/>
              </w:rPr>
            </w:pPr>
            <w:r>
              <w:rPr>
                <w:rFonts w:hint="eastAsia"/>
                <w:sz w:val="24"/>
              </w:rPr>
              <w:t>2028年12月</w:t>
            </w:r>
          </w:p>
        </w:tc>
        <w:tc>
          <w:tcPr>
            <w:tcW w:w="1274" w:type="dxa"/>
            <w:vAlign w:val="center"/>
          </w:tcPr>
          <w:p>
            <w:pPr>
              <w:spacing w:line="30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5" w:type="dxa"/>
            <w:vAlign w:val="center"/>
          </w:tcPr>
          <w:p>
            <w:pPr>
              <w:spacing w:line="300" w:lineRule="exact"/>
              <w:rPr>
                <w:sz w:val="24"/>
              </w:rPr>
            </w:pPr>
            <w:r>
              <w:rPr>
                <w:rFonts w:hint="eastAsia"/>
                <w:sz w:val="24"/>
              </w:rPr>
              <w:t>19</w:t>
            </w:r>
          </w:p>
        </w:tc>
        <w:tc>
          <w:tcPr>
            <w:tcW w:w="1657" w:type="dxa"/>
            <w:vAlign w:val="center"/>
          </w:tcPr>
          <w:p>
            <w:pPr>
              <w:spacing w:line="300" w:lineRule="exact"/>
              <w:rPr>
                <w:sz w:val="24"/>
              </w:rPr>
            </w:pPr>
            <w:r>
              <w:rPr>
                <w:rFonts w:hint="eastAsia"/>
                <w:sz w:val="24"/>
              </w:rPr>
              <w:t>铜五区苏维埃政府旧址</w:t>
            </w:r>
          </w:p>
        </w:tc>
        <w:tc>
          <w:tcPr>
            <w:tcW w:w="1984" w:type="dxa"/>
            <w:vAlign w:val="center"/>
          </w:tcPr>
          <w:p>
            <w:pPr>
              <w:spacing w:line="300" w:lineRule="exact"/>
              <w:rPr>
                <w:sz w:val="24"/>
              </w:rPr>
            </w:pPr>
            <w:r>
              <w:rPr>
                <w:rFonts w:hint="eastAsia"/>
                <w:sz w:val="24"/>
              </w:rPr>
              <w:t>实施本体保护修缮</w:t>
            </w:r>
          </w:p>
        </w:tc>
        <w:tc>
          <w:tcPr>
            <w:tcW w:w="2835" w:type="dxa"/>
            <w:vAlign w:val="center"/>
          </w:tcPr>
          <w:p>
            <w:pPr>
              <w:spacing w:line="300" w:lineRule="exact"/>
              <w:rPr>
                <w:sz w:val="24"/>
              </w:rPr>
            </w:pPr>
            <w:r>
              <w:rPr>
                <w:rFonts w:hint="eastAsia"/>
                <w:sz w:val="24"/>
              </w:rPr>
              <w:t>完善展陈布置</w:t>
            </w:r>
          </w:p>
        </w:tc>
        <w:tc>
          <w:tcPr>
            <w:tcW w:w="3119" w:type="dxa"/>
            <w:vAlign w:val="center"/>
          </w:tcPr>
          <w:p>
            <w:pPr>
              <w:spacing w:line="300" w:lineRule="exact"/>
              <w:rPr>
                <w:sz w:val="24"/>
              </w:rPr>
            </w:pPr>
            <w:r>
              <w:rPr>
                <w:rFonts w:hint="eastAsia"/>
                <w:sz w:val="24"/>
              </w:rPr>
              <w:t>结合乡村振兴，增加导视系统，美化提升周边环境。</w:t>
            </w:r>
          </w:p>
        </w:tc>
        <w:tc>
          <w:tcPr>
            <w:tcW w:w="1842" w:type="dxa"/>
            <w:vAlign w:val="center"/>
          </w:tcPr>
          <w:p>
            <w:pPr>
              <w:spacing w:line="300" w:lineRule="exact"/>
              <w:rPr>
                <w:sz w:val="24"/>
              </w:rPr>
            </w:pPr>
          </w:p>
        </w:tc>
        <w:tc>
          <w:tcPr>
            <w:tcW w:w="1078" w:type="dxa"/>
            <w:vAlign w:val="center"/>
          </w:tcPr>
          <w:p>
            <w:pPr>
              <w:spacing w:line="300" w:lineRule="exact"/>
              <w:rPr>
                <w:sz w:val="24"/>
              </w:rPr>
            </w:pPr>
            <w:r>
              <w:rPr>
                <w:rFonts w:hint="eastAsia"/>
                <w:sz w:val="24"/>
              </w:rPr>
              <w:t>2028年12月</w:t>
            </w:r>
          </w:p>
        </w:tc>
        <w:tc>
          <w:tcPr>
            <w:tcW w:w="1274" w:type="dxa"/>
            <w:vAlign w:val="center"/>
          </w:tcPr>
          <w:p>
            <w:pPr>
              <w:spacing w:line="30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5" w:type="dxa"/>
            <w:vAlign w:val="center"/>
          </w:tcPr>
          <w:p>
            <w:pPr>
              <w:spacing w:line="300" w:lineRule="exact"/>
              <w:rPr>
                <w:sz w:val="24"/>
              </w:rPr>
            </w:pPr>
            <w:r>
              <w:rPr>
                <w:rFonts w:hint="eastAsia"/>
                <w:sz w:val="24"/>
              </w:rPr>
              <w:t>20</w:t>
            </w:r>
          </w:p>
        </w:tc>
        <w:tc>
          <w:tcPr>
            <w:tcW w:w="1657" w:type="dxa"/>
            <w:vAlign w:val="center"/>
          </w:tcPr>
          <w:p>
            <w:pPr>
              <w:spacing w:line="300" w:lineRule="exact"/>
              <w:rPr>
                <w:sz w:val="24"/>
              </w:rPr>
            </w:pPr>
            <w:r>
              <w:rPr>
                <w:rFonts w:hint="eastAsia"/>
                <w:sz w:val="24"/>
              </w:rPr>
              <w:t>铜鼓县消费合作总社旧址</w:t>
            </w:r>
          </w:p>
        </w:tc>
        <w:tc>
          <w:tcPr>
            <w:tcW w:w="1984" w:type="dxa"/>
            <w:vAlign w:val="center"/>
          </w:tcPr>
          <w:p>
            <w:pPr>
              <w:spacing w:line="300" w:lineRule="exact"/>
              <w:rPr>
                <w:sz w:val="24"/>
              </w:rPr>
            </w:pPr>
            <w:r>
              <w:rPr>
                <w:rFonts w:hint="eastAsia"/>
                <w:sz w:val="24"/>
              </w:rPr>
              <w:t>实施本体保护修缮</w:t>
            </w:r>
          </w:p>
        </w:tc>
        <w:tc>
          <w:tcPr>
            <w:tcW w:w="2835" w:type="dxa"/>
            <w:vAlign w:val="center"/>
          </w:tcPr>
          <w:p>
            <w:pPr>
              <w:spacing w:line="300" w:lineRule="exact"/>
              <w:rPr>
                <w:sz w:val="24"/>
              </w:rPr>
            </w:pPr>
            <w:r>
              <w:rPr>
                <w:rFonts w:hint="eastAsia"/>
                <w:sz w:val="24"/>
              </w:rPr>
              <w:t>完善展陈布置</w:t>
            </w:r>
          </w:p>
        </w:tc>
        <w:tc>
          <w:tcPr>
            <w:tcW w:w="3119" w:type="dxa"/>
            <w:vAlign w:val="center"/>
          </w:tcPr>
          <w:p>
            <w:pPr>
              <w:spacing w:line="300" w:lineRule="exact"/>
              <w:rPr>
                <w:sz w:val="24"/>
              </w:rPr>
            </w:pPr>
            <w:r>
              <w:rPr>
                <w:rFonts w:hint="eastAsia"/>
                <w:sz w:val="24"/>
              </w:rPr>
              <w:t>结合乡村振兴，增加导视系统，美化提升周边环境。</w:t>
            </w:r>
          </w:p>
        </w:tc>
        <w:tc>
          <w:tcPr>
            <w:tcW w:w="1842" w:type="dxa"/>
            <w:vAlign w:val="center"/>
          </w:tcPr>
          <w:p>
            <w:pPr>
              <w:spacing w:line="300" w:lineRule="exact"/>
              <w:rPr>
                <w:sz w:val="24"/>
              </w:rPr>
            </w:pPr>
          </w:p>
        </w:tc>
        <w:tc>
          <w:tcPr>
            <w:tcW w:w="1078" w:type="dxa"/>
            <w:vAlign w:val="center"/>
          </w:tcPr>
          <w:p>
            <w:pPr>
              <w:spacing w:line="300" w:lineRule="exact"/>
              <w:rPr>
                <w:sz w:val="24"/>
              </w:rPr>
            </w:pPr>
            <w:r>
              <w:rPr>
                <w:rFonts w:hint="eastAsia"/>
                <w:sz w:val="24"/>
              </w:rPr>
              <w:t>2028年12月</w:t>
            </w:r>
          </w:p>
        </w:tc>
        <w:tc>
          <w:tcPr>
            <w:tcW w:w="1274" w:type="dxa"/>
            <w:vAlign w:val="center"/>
          </w:tcPr>
          <w:p>
            <w:pPr>
              <w:spacing w:line="30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5" w:type="dxa"/>
            <w:vAlign w:val="center"/>
          </w:tcPr>
          <w:p>
            <w:pPr>
              <w:spacing w:line="300" w:lineRule="exact"/>
              <w:rPr>
                <w:sz w:val="24"/>
              </w:rPr>
            </w:pPr>
            <w:r>
              <w:rPr>
                <w:rFonts w:hint="eastAsia"/>
                <w:sz w:val="24"/>
              </w:rPr>
              <w:t>21</w:t>
            </w:r>
          </w:p>
        </w:tc>
        <w:tc>
          <w:tcPr>
            <w:tcW w:w="1657" w:type="dxa"/>
            <w:vAlign w:val="center"/>
          </w:tcPr>
          <w:p>
            <w:pPr>
              <w:spacing w:line="300" w:lineRule="exact"/>
              <w:rPr>
                <w:sz w:val="24"/>
              </w:rPr>
            </w:pPr>
            <w:r>
              <w:rPr>
                <w:rFonts w:hint="eastAsia"/>
                <w:sz w:val="24"/>
              </w:rPr>
              <w:t>西向红十六军七师三团驻地旧址</w:t>
            </w:r>
          </w:p>
        </w:tc>
        <w:tc>
          <w:tcPr>
            <w:tcW w:w="1984" w:type="dxa"/>
            <w:vAlign w:val="center"/>
          </w:tcPr>
          <w:p>
            <w:pPr>
              <w:spacing w:line="300" w:lineRule="exact"/>
              <w:rPr>
                <w:sz w:val="24"/>
              </w:rPr>
            </w:pPr>
            <w:r>
              <w:rPr>
                <w:rFonts w:hint="eastAsia"/>
                <w:sz w:val="24"/>
              </w:rPr>
              <w:t>全面实施本体保护修缮</w:t>
            </w:r>
          </w:p>
        </w:tc>
        <w:tc>
          <w:tcPr>
            <w:tcW w:w="2835" w:type="dxa"/>
            <w:vAlign w:val="center"/>
          </w:tcPr>
          <w:p>
            <w:pPr>
              <w:spacing w:line="300" w:lineRule="exact"/>
              <w:rPr>
                <w:sz w:val="24"/>
              </w:rPr>
            </w:pPr>
            <w:r>
              <w:rPr>
                <w:rFonts w:hint="eastAsia"/>
                <w:sz w:val="24"/>
              </w:rPr>
              <w:t>完善展陈布置</w:t>
            </w:r>
          </w:p>
        </w:tc>
        <w:tc>
          <w:tcPr>
            <w:tcW w:w="3119" w:type="dxa"/>
            <w:vAlign w:val="center"/>
          </w:tcPr>
          <w:p>
            <w:pPr>
              <w:spacing w:line="300" w:lineRule="exact"/>
              <w:rPr>
                <w:sz w:val="24"/>
              </w:rPr>
            </w:pPr>
            <w:r>
              <w:rPr>
                <w:rFonts w:hint="eastAsia"/>
                <w:sz w:val="24"/>
              </w:rPr>
              <w:t>结合乡村振兴，增加导视系统，美化提升周边环境。</w:t>
            </w:r>
          </w:p>
        </w:tc>
        <w:tc>
          <w:tcPr>
            <w:tcW w:w="1842" w:type="dxa"/>
            <w:vAlign w:val="center"/>
          </w:tcPr>
          <w:p>
            <w:pPr>
              <w:spacing w:line="300" w:lineRule="exact"/>
              <w:rPr>
                <w:sz w:val="24"/>
              </w:rPr>
            </w:pPr>
          </w:p>
        </w:tc>
        <w:tc>
          <w:tcPr>
            <w:tcW w:w="1078" w:type="dxa"/>
            <w:vAlign w:val="center"/>
          </w:tcPr>
          <w:p>
            <w:pPr>
              <w:spacing w:line="300" w:lineRule="exact"/>
              <w:rPr>
                <w:sz w:val="24"/>
              </w:rPr>
            </w:pPr>
            <w:r>
              <w:rPr>
                <w:rFonts w:hint="eastAsia"/>
                <w:sz w:val="24"/>
              </w:rPr>
              <w:t>2028年12月</w:t>
            </w:r>
          </w:p>
        </w:tc>
        <w:tc>
          <w:tcPr>
            <w:tcW w:w="1274" w:type="dxa"/>
            <w:vAlign w:val="center"/>
          </w:tcPr>
          <w:p>
            <w:pPr>
              <w:spacing w:line="30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5" w:type="dxa"/>
            <w:vAlign w:val="center"/>
          </w:tcPr>
          <w:p>
            <w:pPr>
              <w:spacing w:line="300" w:lineRule="exact"/>
              <w:rPr>
                <w:sz w:val="24"/>
              </w:rPr>
            </w:pPr>
            <w:r>
              <w:rPr>
                <w:rFonts w:hint="eastAsia"/>
                <w:sz w:val="24"/>
              </w:rPr>
              <w:t>22</w:t>
            </w:r>
          </w:p>
        </w:tc>
        <w:tc>
          <w:tcPr>
            <w:tcW w:w="1657" w:type="dxa"/>
            <w:vAlign w:val="center"/>
          </w:tcPr>
          <w:p>
            <w:pPr>
              <w:spacing w:line="300" w:lineRule="exact"/>
              <w:rPr>
                <w:sz w:val="24"/>
              </w:rPr>
            </w:pPr>
            <w:r>
              <w:rPr>
                <w:rFonts w:hint="eastAsia"/>
                <w:sz w:val="24"/>
              </w:rPr>
              <w:t xml:space="preserve">抗战防空洞遗址 </w:t>
            </w:r>
          </w:p>
        </w:tc>
        <w:tc>
          <w:tcPr>
            <w:tcW w:w="1984" w:type="dxa"/>
            <w:vAlign w:val="center"/>
          </w:tcPr>
          <w:p>
            <w:pPr>
              <w:spacing w:line="300" w:lineRule="exact"/>
              <w:rPr>
                <w:sz w:val="24"/>
              </w:rPr>
            </w:pPr>
            <w:r>
              <w:rPr>
                <w:rFonts w:hint="eastAsia"/>
                <w:sz w:val="24"/>
              </w:rPr>
              <w:t>实施本体保护修缮</w:t>
            </w:r>
          </w:p>
        </w:tc>
        <w:tc>
          <w:tcPr>
            <w:tcW w:w="2835" w:type="dxa"/>
            <w:vAlign w:val="center"/>
          </w:tcPr>
          <w:p>
            <w:pPr>
              <w:spacing w:line="300" w:lineRule="exact"/>
              <w:rPr>
                <w:sz w:val="24"/>
              </w:rPr>
            </w:pPr>
            <w:r>
              <w:rPr>
                <w:rFonts w:hint="eastAsia"/>
                <w:sz w:val="24"/>
              </w:rPr>
              <w:t>原状展示</w:t>
            </w:r>
          </w:p>
        </w:tc>
        <w:tc>
          <w:tcPr>
            <w:tcW w:w="3119" w:type="dxa"/>
            <w:vAlign w:val="center"/>
          </w:tcPr>
          <w:p>
            <w:pPr>
              <w:spacing w:line="300" w:lineRule="exact"/>
              <w:rPr>
                <w:sz w:val="24"/>
              </w:rPr>
            </w:pPr>
            <w:r>
              <w:rPr>
                <w:rFonts w:hint="eastAsia"/>
                <w:sz w:val="24"/>
              </w:rPr>
              <w:t>结合城市更新，增加导视系统，美化提升周边环境。</w:t>
            </w:r>
          </w:p>
        </w:tc>
        <w:tc>
          <w:tcPr>
            <w:tcW w:w="1842" w:type="dxa"/>
            <w:vAlign w:val="center"/>
          </w:tcPr>
          <w:p>
            <w:pPr>
              <w:spacing w:line="300" w:lineRule="exact"/>
              <w:rPr>
                <w:sz w:val="24"/>
              </w:rPr>
            </w:pPr>
          </w:p>
        </w:tc>
        <w:tc>
          <w:tcPr>
            <w:tcW w:w="1078" w:type="dxa"/>
            <w:vAlign w:val="center"/>
          </w:tcPr>
          <w:p>
            <w:pPr>
              <w:spacing w:line="300" w:lineRule="exact"/>
              <w:rPr>
                <w:sz w:val="24"/>
              </w:rPr>
            </w:pPr>
            <w:r>
              <w:rPr>
                <w:rFonts w:hint="eastAsia"/>
                <w:sz w:val="24"/>
              </w:rPr>
              <w:t>2025年12月</w:t>
            </w:r>
          </w:p>
        </w:tc>
        <w:tc>
          <w:tcPr>
            <w:tcW w:w="1274" w:type="dxa"/>
            <w:vAlign w:val="center"/>
          </w:tcPr>
          <w:p>
            <w:pPr>
              <w:spacing w:line="300" w:lineRule="exact"/>
              <w:rPr>
                <w:sz w:val="24"/>
              </w:rPr>
            </w:pPr>
          </w:p>
        </w:tc>
      </w:tr>
    </w:tbl>
    <w:p>
      <w:pPr>
        <w:rPr>
          <w:rFonts w:ascii="Calibri" w:eastAsia="宋体"/>
          <w:sz w:val="21"/>
        </w:rPr>
      </w:pPr>
    </w:p>
    <w:p>
      <w:pPr>
        <w:spacing w:line="600" w:lineRule="exact"/>
        <w:rPr>
          <w:rFonts w:hAnsi="黑体" w:cs="黑体"/>
          <w:szCs w:val="32"/>
        </w:rPr>
        <w:sectPr>
          <w:pgSz w:w="16838" w:h="11906" w:orient="landscape"/>
          <w:pgMar w:top="1531" w:right="1928" w:bottom="1531" w:left="1814" w:header="851" w:footer="1304" w:gutter="0"/>
          <w:pgNumType w:fmt="numberInDash"/>
          <w:cols w:space="720" w:num="1"/>
          <w:docGrid w:type="lines" w:linePitch="435" w:charSpace="0"/>
        </w:sectPr>
      </w:pPr>
    </w:p>
    <w:p>
      <w:pPr>
        <w:spacing w:line="600" w:lineRule="exact"/>
        <w:rPr>
          <w:rFonts w:hint="eastAsia" w:ascii="黑体" w:hAnsi="黑体" w:eastAsia="黑体" w:cs="黑体"/>
          <w:szCs w:val="32"/>
        </w:rPr>
      </w:pPr>
      <w:r>
        <w:rPr>
          <w:rFonts w:hint="eastAsia" w:ascii="黑体" w:hAnsi="黑体" w:eastAsia="黑体" w:cs="黑体"/>
          <w:szCs w:val="32"/>
        </w:rPr>
        <w:t>附件3</w:t>
      </w:r>
    </w:p>
    <w:p>
      <w:pPr>
        <w:spacing w:line="600" w:lineRule="exact"/>
        <w:jc w:val="center"/>
      </w:pPr>
      <w:r>
        <w:rPr>
          <w:rFonts w:hint="eastAsia" w:ascii="方正小标宋简体" w:hAnsi="黑体" w:eastAsia="方正小标宋简体" w:cs="黑体"/>
          <w:sz w:val="44"/>
          <w:szCs w:val="44"/>
        </w:rPr>
        <w:t>铜鼓县不可移动革命文物保护利用清单</w:t>
      </w:r>
    </w:p>
    <w:tbl>
      <w:tblPr>
        <w:tblStyle w:val="18"/>
        <w:tblpPr w:leftFromText="180" w:rightFromText="180" w:vertAnchor="text" w:horzAnchor="page" w:tblpX="1452" w:tblpY="1"/>
        <w:tblOverlap w:val="never"/>
        <w:tblW w:w="14096" w:type="dxa"/>
        <w:tblInd w:w="0" w:type="dxa"/>
        <w:tblLayout w:type="fixed"/>
        <w:tblCellMar>
          <w:top w:w="0" w:type="dxa"/>
          <w:left w:w="108" w:type="dxa"/>
          <w:bottom w:w="0" w:type="dxa"/>
          <w:right w:w="108" w:type="dxa"/>
        </w:tblCellMar>
      </w:tblPr>
      <w:tblGrid>
        <w:gridCol w:w="537"/>
        <w:gridCol w:w="3252"/>
        <w:gridCol w:w="2370"/>
        <w:gridCol w:w="2500"/>
        <w:gridCol w:w="721"/>
        <w:gridCol w:w="929"/>
        <w:gridCol w:w="953"/>
        <w:gridCol w:w="2834"/>
      </w:tblGrid>
      <w:tr>
        <w:tblPrEx>
          <w:tblCellMar>
            <w:top w:w="0" w:type="dxa"/>
            <w:left w:w="108" w:type="dxa"/>
            <w:bottom w:w="0" w:type="dxa"/>
            <w:right w:w="108" w:type="dxa"/>
          </w:tblCellMar>
        </w:tblPrEx>
        <w:trPr>
          <w:trHeight w:val="971" w:hRule="atLeast"/>
          <w:tblHeader/>
        </w:trPr>
        <w:tc>
          <w:tcPr>
            <w:tcW w:w="537" w:type="dxa"/>
            <w:tcBorders>
              <w:top w:val="single" w:color="auto" w:sz="4" w:space="0"/>
              <w:left w:val="single" w:color="000000" w:sz="4" w:space="0"/>
              <w:bottom w:val="single" w:color="000000" w:sz="4" w:space="0"/>
              <w:right w:val="single" w:color="000000" w:sz="4" w:space="0"/>
            </w:tcBorders>
            <w:shd w:val="clear" w:color="auto" w:fill="FFFFFF"/>
            <w:vAlign w:val="center"/>
          </w:tcPr>
          <w:p>
            <w:pPr>
              <w:spacing w:line="360" w:lineRule="exact"/>
              <w:rPr>
                <w:b/>
                <w:bCs/>
                <w:sz w:val="28"/>
                <w:szCs w:val="22"/>
              </w:rPr>
            </w:pPr>
            <w:r>
              <w:rPr>
                <w:rFonts w:hint="eastAsia"/>
                <w:b/>
                <w:bCs/>
                <w:sz w:val="28"/>
                <w:szCs w:val="22"/>
              </w:rPr>
              <w:t>序号</w:t>
            </w:r>
          </w:p>
        </w:tc>
        <w:tc>
          <w:tcPr>
            <w:tcW w:w="3252" w:type="dxa"/>
            <w:tcBorders>
              <w:top w:val="single" w:color="auto"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b/>
                <w:bCs/>
                <w:sz w:val="28"/>
                <w:szCs w:val="22"/>
              </w:rPr>
            </w:pPr>
            <w:r>
              <w:rPr>
                <w:rFonts w:hint="eastAsia"/>
                <w:b/>
                <w:bCs/>
                <w:sz w:val="28"/>
                <w:szCs w:val="22"/>
              </w:rPr>
              <w:t>名    称</w:t>
            </w:r>
          </w:p>
        </w:tc>
        <w:tc>
          <w:tcPr>
            <w:tcW w:w="2370" w:type="dxa"/>
            <w:tcBorders>
              <w:top w:val="single" w:color="auto"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b/>
                <w:bCs/>
                <w:sz w:val="28"/>
                <w:szCs w:val="22"/>
              </w:rPr>
            </w:pPr>
            <w:r>
              <w:rPr>
                <w:rFonts w:hint="eastAsia"/>
                <w:b/>
                <w:bCs/>
                <w:sz w:val="28"/>
                <w:szCs w:val="22"/>
              </w:rPr>
              <w:t>地   址</w:t>
            </w:r>
          </w:p>
        </w:tc>
        <w:tc>
          <w:tcPr>
            <w:tcW w:w="2500" w:type="dxa"/>
            <w:tcBorders>
              <w:top w:val="single" w:color="auto" w:sz="4" w:space="0"/>
              <w:left w:val="nil"/>
              <w:bottom w:val="single" w:color="000000" w:sz="4" w:space="0"/>
              <w:right w:val="single" w:color="000000" w:sz="4" w:space="0"/>
            </w:tcBorders>
            <w:shd w:val="clear" w:color="auto" w:fill="FFFFFF"/>
            <w:vAlign w:val="center"/>
          </w:tcPr>
          <w:p>
            <w:pPr>
              <w:spacing w:line="360" w:lineRule="exact"/>
              <w:jc w:val="center"/>
              <w:rPr>
                <w:b/>
                <w:bCs/>
                <w:sz w:val="28"/>
                <w:szCs w:val="22"/>
              </w:rPr>
            </w:pPr>
            <w:r>
              <w:rPr>
                <w:rFonts w:hint="eastAsia"/>
                <w:b/>
                <w:bCs/>
                <w:sz w:val="28"/>
                <w:szCs w:val="22"/>
              </w:rPr>
              <w:t>保 护 级 别</w:t>
            </w:r>
          </w:p>
        </w:tc>
        <w:tc>
          <w:tcPr>
            <w:tcW w:w="721" w:type="dxa"/>
            <w:tcBorders>
              <w:top w:val="single" w:color="auto" w:sz="4" w:space="0"/>
              <w:left w:val="single" w:color="000000" w:sz="4" w:space="0"/>
              <w:bottom w:val="single" w:color="000000" w:sz="4" w:space="0"/>
              <w:right w:val="single" w:color="000000" w:sz="4" w:space="0"/>
            </w:tcBorders>
            <w:shd w:val="clear" w:color="auto" w:fill="FFFFFF"/>
            <w:vAlign w:val="center"/>
          </w:tcPr>
          <w:p>
            <w:pPr>
              <w:spacing w:line="360" w:lineRule="exact"/>
              <w:rPr>
                <w:b/>
                <w:bCs/>
                <w:sz w:val="28"/>
                <w:szCs w:val="22"/>
              </w:rPr>
            </w:pPr>
            <w:r>
              <w:rPr>
                <w:rFonts w:hint="eastAsia"/>
                <w:b/>
                <w:bCs/>
                <w:sz w:val="28"/>
                <w:szCs w:val="22"/>
              </w:rPr>
              <w:t>产权</w:t>
            </w:r>
          </w:p>
        </w:tc>
        <w:tc>
          <w:tcPr>
            <w:tcW w:w="9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rPr>
                <w:b/>
                <w:bCs/>
                <w:sz w:val="28"/>
                <w:szCs w:val="22"/>
              </w:rPr>
            </w:pPr>
            <w:r>
              <w:rPr>
                <w:rFonts w:hint="eastAsia"/>
                <w:b/>
                <w:bCs/>
                <w:sz w:val="28"/>
                <w:szCs w:val="22"/>
              </w:rPr>
              <w:t>功能</w:t>
            </w:r>
          </w:p>
          <w:p>
            <w:pPr>
              <w:spacing w:line="360" w:lineRule="exact"/>
              <w:rPr>
                <w:b/>
                <w:bCs/>
                <w:sz w:val="28"/>
                <w:szCs w:val="22"/>
              </w:rPr>
            </w:pPr>
            <w:r>
              <w:rPr>
                <w:rFonts w:hint="eastAsia"/>
                <w:b/>
                <w:bCs/>
                <w:sz w:val="28"/>
                <w:szCs w:val="22"/>
              </w:rPr>
              <w:t>现状</w:t>
            </w:r>
          </w:p>
        </w:tc>
        <w:tc>
          <w:tcPr>
            <w:tcW w:w="9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b/>
                <w:bCs/>
                <w:sz w:val="28"/>
                <w:szCs w:val="22"/>
              </w:rPr>
            </w:pPr>
            <w:r>
              <w:rPr>
                <w:rFonts w:hint="eastAsia"/>
                <w:b/>
                <w:bCs/>
                <w:sz w:val="28"/>
                <w:szCs w:val="22"/>
              </w:rPr>
              <w:t>保护 措施</w:t>
            </w:r>
          </w:p>
        </w:tc>
        <w:tc>
          <w:tcPr>
            <w:tcW w:w="2834" w:type="dxa"/>
            <w:tcBorders>
              <w:top w:val="single" w:color="000000" w:sz="4" w:space="0"/>
              <w:left w:val="single" w:color="000000" w:sz="4" w:space="0"/>
              <w:bottom w:val="single" w:color="000000" w:sz="4" w:space="0"/>
              <w:right w:val="single" w:color="auto" w:sz="4" w:space="0"/>
            </w:tcBorders>
            <w:shd w:val="clear" w:color="auto" w:fill="FFFFFF"/>
            <w:vAlign w:val="center"/>
          </w:tcPr>
          <w:p>
            <w:pPr>
              <w:spacing w:line="360" w:lineRule="exact"/>
              <w:jc w:val="center"/>
              <w:rPr>
                <w:b/>
                <w:bCs/>
                <w:sz w:val="28"/>
                <w:szCs w:val="22"/>
              </w:rPr>
            </w:pPr>
            <w:r>
              <w:rPr>
                <w:rFonts w:hint="eastAsia"/>
                <w:b/>
                <w:bCs/>
                <w:sz w:val="28"/>
                <w:szCs w:val="22"/>
              </w:rPr>
              <w:t>展示利用方式</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1</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湘赣边界秋收起义</w:t>
            </w:r>
          </w:p>
          <w:p>
            <w:pPr>
              <w:spacing w:line="280" w:lineRule="exact"/>
              <w:jc w:val="center"/>
              <w:rPr>
                <w:sz w:val="24"/>
              </w:rPr>
            </w:pPr>
            <w:r>
              <w:rPr>
                <w:rFonts w:hint="eastAsia"/>
                <w:sz w:val="24"/>
              </w:rPr>
              <w:t>前敌委员会旧址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永宁镇定江东路487号</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全国重点文物保护单位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国有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保养</w:t>
            </w:r>
          </w:p>
          <w:p>
            <w:pPr>
              <w:spacing w:line="280" w:lineRule="exact"/>
              <w:jc w:val="center"/>
              <w:rPr>
                <w:sz w:val="24"/>
              </w:rPr>
            </w:pPr>
            <w:r>
              <w:rPr>
                <w:rFonts w:hint="eastAsia"/>
                <w:sz w:val="24"/>
              </w:rPr>
              <w:t>维护</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布展陈列、文化旅游</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2</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中国工农革命军第一师</w:t>
            </w:r>
          </w:p>
          <w:p>
            <w:pPr>
              <w:spacing w:line="280" w:lineRule="exact"/>
              <w:jc w:val="center"/>
              <w:rPr>
                <w:sz w:val="24"/>
              </w:rPr>
            </w:pPr>
            <w:r>
              <w:rPr>
                <w:rFonts w:hint="eastAsia"/>
                <w:sz w:val="24"/>
              </w:rPr>
              <w:t>三团一营营部旧址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永宁镇城南路15号</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省级文物保护单位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国有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闲置</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重点</w:t>
            </w:r>
          </w:p>
          <w:p>
            <w:pPr>
              <w:spacing w:line="280" w:lineRule="exact"/>
              <w:jc w:val="center"/>
              <w:rPr>
                <w:sz w:val="24"/>
              </w:rPr>
            </w:pPr>
            <w:r>
              <w:rPr>
                <w:rFonts w:hint="eastAsia"/>
                <w:sz w:val="24"/>
              </w:rPr>
              <w:t>修复</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布展陈列、文化旅游</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3</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工农革命军第一军第一师第三团回师铜鼓旧址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排埠镇永庆村下街</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省级文物保护单位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国有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重点</w:t>
            </w:r>
          </w:p>
          <w:p>
            <w:pPr>
              <w:spacing w:line="280" w:lineRule="exact"/>
              <w:jc w:val="center"/>
              <w:rPr>
                <w:sz w:val="24"/>
              </w:rPr>
            </w:pPr>
            <w:r>
              <w:rPr>
                <w:rFonts w:hint="eastAsia"/>
                <w:sz w:val="24"/>
              </w:rPr>
              <w:t>修复</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布展陈列、文化旅游</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4</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秋收起义部队新兵训练处旧址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永宁镇江头村屏风组</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省级文物保护单位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国有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闲置</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重点</w:t>
            </w:r>
          </w:p>
          <w:p>
            <w:pPr>
              <w:spacing w:line="280" w:lineRule="exact"/>
              <w:jc w:val="center"/>
              <w:rPr>
                <w:sz w:val="24"/>
              </w:rPr>
            </w:pPr>
            <w:r>
              <w:rPr>
                <w:rFonts w:hint="eastAsia"/>
                <w:sz w:val="24"/>
              </w:rPr>
              <w:t>修复</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布展陈列、文化创意</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5</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毛泽东脱险地旧址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排埠镇华联村月形湾</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省级文物保护单位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国有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重点 修复</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布展陈列、文化旅游</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6</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湘鄂赣省苏维埃政府旧址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棋坪镇大梅村</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省级文物保护单位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布展陈列、文化旅游</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7</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湘鄂赣省军区司令部旧址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棋坪镇大梅村</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省级文物保护单位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布展陈列、文化旅游</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8</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幽居会议旧址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棋坪镇幽居村</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省级文物保护单位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集体</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保养</w:t>
            </w:r>
          </w:p>
          <w:p>
            <w:pPr>
              <w:spacing w:line="280" w:lineRule="exact"/>
              <w:jc w:val="center"/>
              <w:rPr>
                <w:sz w:val="24"/>
              </w:rPr>
            </w:pPr>
            <w:r>
              <w:rPr>
                <w:rFonts w:hint="eastAsia"/>
                <w:sz w:val="24"/>
              </w:rPr>
              <w:t>维护</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布展陈列、文化旅游</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9</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工农革命军一军一师三团五连旧址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永宁镇三八路（县农行后）</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市级文物保护单位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国有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闲置</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布展陈列</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10</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红十六军驻军旧址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永宁镇丰田行政村</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市级文物保护单位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重点</w:t>
            </w:r>
          </w:p>
          <w:p>
            <w:pPr>
              <w:spacing w:line="280" w:lineRule="exact"/>
              <w:jc w:val="center"/>
              <w:rPr>
                <w:sz w:val="24"/>
              </w:rPr>
            </w:pPr>
            <w:r>
              <w:rPr>
                <w:rFonts w:hint="eastAsia"/>
                <w:sz w:val="24"/>
              </w:rPr>
              <w:t>修复</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布展陈列</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11</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丰田战斗遗址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永宁镇丰田村角罗尖自然村</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县级文物保护单位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集体</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保养 维护</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革命体验</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12</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湘鄂赣省兵工厂旧址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棋坪镇大梅村湾里自然村</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县级文物保护单位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闲置</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布展陈列</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13</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中共铜鼓县委旧址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高桥乡梁塅村梁塅组</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县级文物保护单位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居住</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原状展示</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14</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铜鼓县苏维埃政府旧址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高桥乡梁塅村领下自然村</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县级文物保护单位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保养 维护</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布展陈列</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15</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秋收起义部队招募员追悼大会旧址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永宁镇剑石路</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县级文物保护单位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国有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闲置</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革命体验</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16</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湘鄂赣省苏维埃政府工农银行旧址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棋坪镇大梅村祖庄自然村</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县级文物保护单位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居住</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原状展示</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17</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红十六、十七师会师旧址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棋坪镇幽居村夏家方自然村</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县级文物保护单位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集体</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闲置</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布展陈列</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18</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湘鄂赣省保卫局旧址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棋坪镇大梅村湾里自然村</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县级文物保护单位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居住</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布展陈列</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19</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首届中共铜鼓县委机关旧址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三都镇西向村源头组羊牯坦</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县级文物保护单位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保养</w:t>
            </w:r>
          </w:p>
          <w:p>
            <w:pPr>
              <w:spacing w:line="280" w:lineRule="exact"/>
              <w:jc w:val="center"/>
              <w:rPr>
                <w:sz w:val="24"/>
              </w:rPr>
            </w:pPr>
            <w:r>
              <w:rPr>
                <w:rFonts w:hint="eastAsia"/>
                <w:sz w:val="24"/>
              </w:rPr>
              <w:t>维护</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布展陈列</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20</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红一军团驻地暨湘鄂赣省委旧址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高桥乡白石村</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县级文物保护单位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集体</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闲置</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布展陈列</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21</w:t>
            </w:r>
          </w:p>
        </w:tc>
        <w:tc>
          <w:tcPr>
            <w:tcW w:w="32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大梅中共平修铜工作团旧址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棋坪镇大梅村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居住</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原状展示</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22</w:t>
            </w:r>
          </w:p>
        </w:tc>
        <w:tc>
          <w:tcPr>
            <w:tcW w:w="32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大梅湘鄂赣省总工会旧址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棋坪镇大梅村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闲置</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原状展示</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23</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大梅湘鄂赣省红色医院旧址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棋坪镇大梅村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县级文物保护单位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闲置</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原状展示</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24</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大梅湘鄂赣省军区机枪连驻地旧址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棋坪镇大梅村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闲置</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原状展示</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25</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棋坪烈士墓</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棋坪镇棋坪村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国有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保养</w:t>
            </w:r>
          </w:p>
          <w:p>
            <w:pPr>
              <w:spacing w:line="280" w:lineRule="exact"/>
              <w:jc w:val="center"/>
              <w:rPr>
                <w:sz w:val="24"/>
              </w:rPr>
            </w:pPr>
            <w:r>
              <w:rPr>
                <w:rFonts w:hint="eastAsia"/>
                <w:sz w:val="24"/>
              </w:rPr>
              <w:t>维护</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革命体验、红色教育</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26</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幽居烈士墓</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棋坪镇幽居村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集体</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保养</w:t>
            </w:r>
          </w:p>
          <w:p>
            <w:pPr>
              <w:spacing w:line="280" w:lineRule="exact"/>
              <w:jc w:val="center"/>
              <w:rPr>
                <w:sz w:val="24"/>
              </w:rPr>
            </w:pPr>
            <w:r>
              <w:rPr>
                <w:rFonts w:hint="eastAsia"/>
                <w:sz w:val="24"/>
              </w:rPr>
              <w:t>维护</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革命体验、红色教育</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27</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庙下三十六烈士墓</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棋坪镇棋坪村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集体</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保养</w:t>
            </w:r>
          </w:p>
          <w:p>
            <w:pPr>
              <w:spacing w:line="280" w:lineRule="exact"/>
              <w:jc w:val="center"/>
              <w:rPr>
                <w:sz w:val="24"/>
              </w:rPr>
            </w:pPr>
            <w:r>
              <w:rPr>
                <w:rFonts w:hint="eastAsia"/>
                <w:sz w:val="24"/>
              </w:rPr>
              <w:t>维护</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革命体验、红色教育</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28</w:t>
            </w:r>
          </w:p>
        </w:tc>
        <w:tc>
          <w:tcPr>
            <w:tcW w:w="32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中共铜鼓县第一次党员代表大会旧址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棋坪镇大梅村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县级文物保护单位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居住</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原状展示</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29</w:t>
            </w:r>
          </w:p>
        </w:tc>
        <w:tc>
          <w:tcPr>
            <w:tcW w:w="32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铜鼓县第三次工农兵代表大会旧址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棋坪镇大梅村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居住</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布展陈列、延续居住功能</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30</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大梅湘鄂赣省被服厂旧址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棋坪镇大梅村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闲置</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原状展示</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31</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大梅湘鄂赣省红色药店旧址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棋坪镇大梅村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县级文物保护单位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居住</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原状展示</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32</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中共修铜县委、县苏维埃政府旧址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棋坪镇大梅村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闲置</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原状展示</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33</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大梅湘鄂赣省反帝大同盟和互济会旧址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棋坪镇大梅村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闲置</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原状展示</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34</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大梅铜鼓县苏维埃政府保卫局旧址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棋坪镇大梅村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闲置</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原状展示</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35</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中共湘鄂赣边特区委暨铜鼓临时县委旧址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高桥乡英溪村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闲置</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原状展示</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36</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铜鼓七区农民协会旧址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高桥乡胆坑村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闲置</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原状展示</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37</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汤九伦烈士墓</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高桥乡英溪村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县级文物保护单位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集体</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保养</w:t>
            </w:r>
          </w:p>
          <w:p>
            <w:pPr>
              <w:spacing w:line="280" w:lineRule="exact"/>
              <w:jc w:val="center"/>
              <w:rPr>
                <w:sz w:val="24"/>
              </w:rPr>
            </w:pPr>
            <w:r>
              <w:rPr>
                <w:rFonts w:hint="eastAsia"/>
                <w:sz w:val="24"/>
              </w:rPr>
              <w:t>维护</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革命体验、红色教育</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38</w:t>
            </w:r>
          </w:p>
        </w:tc>
        <w:tc>
          <w:tcPr>
            <w:tcW w:w="32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高桥烈士墓</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高桥乡梁塅村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国有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保养</w:t>
            </w:r>
          </w:p>
          <w:p>
            <w:pPr>
              <w:spacing w:line="280" w:lineRule="exact"/>
              <w:jc w:val="center"/>
              <w:rPr>
                <w:sz w:val="24"/>
              </w:rPr>
            </w:pPr>
            <w:r>
              <w:rPr>
                <w:rFonts w:hint="eastAsia"/>
                <w:sz w:val="24"/>
              </w:rPr>
              <w:t>维护</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革命体验、红色教育</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39</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桥头秋收起义阅兵广场</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永宁镇双江口</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国有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保养</w:t>
            </w:r>
          </w:p>
          <w:p>
            <w:pPr>
              <w:spacing w:line="280" w:lineRule="exact"/>
              <w:jc w:val="center"/>
              <w:rPr>
                <w:sz w:val="24"/>
              </w:rPr>
            </w:pPr>
            <w:r>
              <w:rPr>
                <w:rFonts w:hint="eastAsia"/>
                <w:sz w:val="24"/>
              </w:rPr>
              <w:t>维护</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社区服务、文化旅游</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40</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中共铜鼓支部旧址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永宁镇永宁桥头</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国有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保养</w:t>
            </w:r>
          </w:p>
          <w:p>
            <w:pPr>
              <w:spacing w:line="280" w:lineRule="exact"/>
              <w:jc w:val="center"/>
              <w:rPr>
                <w:sz w:val="24"/>
              </w:rPr>
            </w:pPr>
            <w:r>
              <w:rPr>
                <w:rFonts w:hint="eastAsia"/>
                <w:sz w:val="24"/>
              </w:rPr>
              <w:t>维护</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布展陈列</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41</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湘鄂赣革命烈士陵园</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永宁镇城南西路</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国有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保养</w:t>
            </w:r>
          </w:p>
          <w:p>
            <w:pPr>
              <w:spacing w:line="280" w:lineRule="exact"/>
              <w:jc w:val="center"/>
              <w:rPr>
                <w:sz w:val="24"/>
              </w:rPr>
            </w:pPr>
            <w:r>
              <w:rPr>
                <w:rFonts w:hint="eastAsia"/>
                <w:sz w:val="24"/>
              </w:rPr>
              <w:t>维护</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革命体验、红色教育</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42</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二源烈士墓</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永宁镇江头村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集体</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保养</w:t>
            </w:r>
          </w:p>
          <w:p>
            <w:pPr>
              <w:spacing w:line="280" w:lineRule="exact"/>
              <w:jc w:val="center"/>
              <w:rPr>
                <w:sz w:val="24"/>
              </w:rPr>
            </w:pPr>
            <w:r>
              <w:rPr>
                <w:rFonts w:hint="eastAsia"/>
                <w:sz w:val="24"/>
              </w:rPr>
              <w:t>维护</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革命体验、红色教育</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43</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永宁烈士墓</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永宁镇城北路</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国有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保养</w:t>
            </w:r>
          </w:p>
          <w:p>
            <w:pPr>
              <w:spacing w:line="280" w:lineRule="exact"/>
              <w:jc w:val="center"/>
              <w:rPr>
                <w:sz w:val="24"/>
              </w:rPr>
            </w:pPr>
            <w:r>
              <w:rPr>
                <w:rFonts w:hint="eastAsia"/>
                <w:sz w:val="24"/>
              </w:rPr>
              <w:t>维护</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革命体验、红色教育</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44</w:t>
            </w:r>
          </w:p>
        </w:tc>
        <w:tc>
          <w:tcPr>
            <w:tcW w:w="32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秋收起义铜鼓纪念馆</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永宁镇定江东路489号</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国有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布展陈列、培训教育</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45</w:t>
            </w:r>
          </w:p>
        </w:tc>
        <w:tc>
          <w:tcPr>
            <w:tcW w:w="32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上庄纸业工会旧址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温泉镇上庄村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国有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保养</w:t>
            </w:r>
          </w:p>
          <w:p>
            <w:pPr>
              <w:spacing w:line="280" w:lineRule="exact"/>
              <w:jc w:val="center"/>
              <w:rPr>
                <w:sz w:val="24"/>
              </w:rPr>
            </w:pPr>
            <w:r>
              <w:rPr>
                <w:rFonts w:hint="eastAsia"/>
                <w:sz w:val="24"/>
              </w:rPr>
              <w:t>维护</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布展陈列</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46</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石桥秋收起义部队接待站旧址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温泉镇石桥村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县级文物保护单位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重点</w:t>
            </w:r>
          </w:p>
          <w:p>
            <w:pPr>
              <w:spacing w:line="280" w:lineRule="exact"/>
              <w:jc w:val="center"/>
              <w:rPr>
                <w:sz w:val="24"/>
              </w:rPr>
            </w:pPr>
            <w:r>
              <w:rPr>
                <w:rFonts w:hint="eastAsia"/>
                <w:sz w:val="24"/>
              </w:rPr>
              <w:t>修复</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布展陈列</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47</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金锡乡苏维埃政府旧址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温泉镇石桥村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居住</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保养</w:t>
            </w:r>
          </w:p>
          <w:p>
            <w:pPr>
              <w:spacing w:line="280" w:lineRule="exact"/>
              <w:jc w:val="center"/>
              <w:rPr>
                <w:sz w:val="24"/>
              </w:rPr>
            </w:pPr>
            <w:r>
              <w:rPr>
                <w:rFonts w:hint="eastAsia"/>
                <w:sz w:val="24"/>
              </w:rPr>
              <w:t>维护</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文化旅游</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48</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金锡纸业工会旧址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温泉镇石桥村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集体</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闲置</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布展陈列、文化旅游</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49</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上庄湘鄂赣省苏维埃政府生产合作社造纸厂旧址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温泉镇上庄村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闲置</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原状展示</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50</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铜鼓县消费合作总社旧址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温泉镇上庄村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闲置</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原状展示</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51</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石桥烈士墓</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温泉镇石桥村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集体</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保养</w:t>
            </w:r>
          </w:p>
          <w:p>
            <w:pPr>
              <w:spacing w:line="280" w:lineRule="exact"/>
              <w:jc w:val="center"/>
              <w:rPr>
                <w:sz w:val="24"/>
              </w:rPr>
            </w:pPr>
            <w:r>
              <w:rPr>
                <w:rFonts w:hint="eastAsia"/>
                <w:sz w:val="24"/>
              </w:rPr>
              <w:t>维护</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革命体验、红色教育</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52</w:t>
            </w:r>
          </w:p>
        </w:tc>
        <w:tc>
          <w:tcPr>
            <w:tcW w:w="32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西向红十六军七师三团驻地旧址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三都镇西向村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居住</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重点</w:t>
            </w:r>
          </w:p>
          <w:p>
            <w:pPr>
              <w:spacing w:line="280" w:lineRule="exact"/>
              <w:jc w:val="center"/>
              <w:rPr>
                <w:sz w:val="24"/>
              </w:rPr>
            </w:pPr>
            <w:r>
              <w:rPr>
                <w:rFonts w:hint="eastAsia"/>
                <w:sz w:val="24"/>
              </w:rPr>
              <w:t>修复</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布展陈列、革命体验</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53</w:t>
            </w:r>
          </w:p>
        </w:tc>
        <w:tc>
          <w:tcPr>
            <w:tcW w:w="32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三都烈士墓</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三都镇三都村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国有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保养</w:t>
            </w:r>
          </w:p>
          <w:p>
            <w:pPr>
              <w:spacing w:line="280" w:lineRule="exact"/>
              <w:jc w:val="center"/>
              <w:rPr>
                <w:sz w:val="24"/>
              </w:rPr>
            </w:pPr>
            <w:r>
              <w:rPr>
                <w:rFonts w:hint="eastAsia"/>
                <w:sz w:val="24"/>
              </w:rPr>
              <w:t>维护</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革命体验、红色教育</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54</w:t>
            </w:r>
          </w:p>
        </w:tc>
        <w:tc>
          <w:tcPr>
            <w:tcW w:w="32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大塅烈士墓</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大塅镇大塅村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国有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保养</w:t>
            </w:r>
          </w:p>
          <w:p>
            <w:pPr>
              <w:spacing w:line="280" w:lineRule="exact"/>
              <w:jc w:val="center"/>
              <w:rPr>
                <w:sz w:val="24"/>
              </w:rPr>
            </w:pPr>
            <w:r>
              <w:rPr>
                <w:rFonts w:hint="eastAsia"/>
                <w:sz w:val="24"/>
              </w:rPr>
              <w:t>维护</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革命体验、红色教育</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55</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古桥战斗遗址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大塅镇古桥村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集体</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革命体验、红色教育</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56</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双红红五军群众大会旧址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大塅镇双红村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集体</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保养</w:t>
            </w:r>
          </w:p>
          <w:p>
            <w:pPr>
              <w:spacing w:line="280" w:lineRule="exact"/>
              <w:jc w:val="center"/>
              <w:rPr>
                <w:sz w:val="24"/>
              </w:rPr>
            </w:pPr>
            <w:r>
              <w:rPr>
                <w:rFonts w:hint="eastAsia"/>
                <w:sz w:val="24"/>
              </w:rPr>
              <w:t>维护</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原状展示</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57</w:t>
            </w:r>
          </w:p>
        </w:tc>
        <w:tc>
          <w:tcPr>
            <w:tcW w:w="32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排埠烈士墓</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铜排埠镇永庆村下街</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国有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展示</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保养</w:t>
            </w:r>
          </w:p>
          <w:p>
            <w:pPr>
              <w:spacing w:line="280" w:lineRule="exact"/>
              <w:jc w:val="center"/>
              <w:rPr>
                <w:sz w:val="24"/>
              </w:rPr>
            </w:pPr>
            <w:r>
              <w:rPr>
                <w:rFonts w:hint="eastAsia"/>
                <w:sz w:val="24"/>
              </w:rPr>
              <w:t>维护</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革命体验、红色教育</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58</w:t>
            </w:r>
          </w:p>
        </w:tc>
        <w:tc>
          <w:tcPr>
            <w:tcW w:w="32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高陂红五军暨湘鄂赣边境支队驻地旧址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排埠镇高陂村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居住</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原状展示</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59</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排埠战斗遗址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排埠镇永庆村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集体</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闲置</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保养</w:t>
            </w:r>
          </w:p>
          <w:p>
            <w:pPr>
              <w:spacing w:line="280" w:lineRule="exact"/>
              <w:jc w:val="center"/>
              <w:rPr>
                <w:sz w:val="24"/>
              </w:rPr>
            </w:pPr>
            <w:r>
              <w:rPr>
                <w:rFonts w:hint="eastAsia"/>
                <w:sz w:val="24"/>
              </w:rPr>
              <w:t>维护</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革命体验</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60</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铜五区苏维埃政府</w:t>
            </w:r>
            <w:r>
              <w:rPr>
                <w:rFonts w:hint="eastAsia"/>
                <w:sz w:val="24"/>
                <w:lang w:val="en-US" w:eastAsia="zh-CN"/>
              </w:rPr>
              <w:t>旧</w:t>
            </w:r>
            <w:r>
              <w:rPr>
                <w:rFonts w:hint="eastAsia"/>
                <w:sz w:val="24"/>
              </w:rPr>
              <w:t>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带溪乡高岭村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闲置</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原状展示</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61</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带溪谈判旧址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带溪乡大群村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未定级不可移动文物</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集体</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闲置</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布展陈列</w:t>
            </w:r>
          </w:p>
        </w:tc>
      </w:tr>
      <w:tr>
        <w:tblPrEx>
          <w:tblCellMar>
            <w:top w:w="0" w:type="dxa"/>
            <w:left w:w="108" w:type="dxa"/>
            <w:bottom w:w="0" w:type="dxa"/>
            <w:right w:w="108" w:type="dxa"/>
          </w:tblCellMar>
        </w:tblPrEx>
        <w:trPr>
          <w:trHeight w:val="766"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62</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铜鼓县游击大队和铜三区赤卫军驻地旧址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排埠镇曾溪村</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县级文物保护单位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私有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闲置</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原状展示</w:t>
            </w:r>
          </w:p>
        </w:tc>
      </w:tr>
      <w:tr>
        <w:tblPrEx>
          <w:tblCellMar>
            <w:top w:w="0" w:type="dxa"/>
            <w:left w:w="108" w:type="dxa"/>
            <w:bottom w:w="0" w:type="dxa"/>
            <w:right w:w="108" w:type="dxa"/>
          </w:tblCellMar>
        </w:tblPrEx>
        <w:trPr>
          <w:trHeight w:val="820" w:hRule="atLeast"/>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pPr>
            <w:r>
              <w:rPr>
                <w:rFonts w:hint="eastAsia"/>
              </w:rPr>
              <w:t>63</w:t>
            </w:r>
          </w:p>
        </w:tc>
        <w:tc>
          <w:tcPr>
            <w:tcW w:w="325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抗战防空洞遗址</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永宁镇剑石路</w:t>
            </w:r>
          </w:p>
        </w:tc>
        <w:tc>
          <w:tcPr>
            <w:tcW w:w="2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sz w:val="24"/>
              </w:rPr>
            </w:pPr>
            <w:r>
              <w:rPr>
                <w:rFonts w:hint="eastAsia"/>
                <w:sz w:val="24"/>
              </w:rPr>
              <w:t>县级文物保护单位</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sz w:val="24"/>
              </w:rPr>
            </w:pPr>
            <w:r>
              <w:rPr>
                <w:rFonts w:hint="eastAsia"/>
                <w:sz w:val="24"/>
              </w:rPr>
              <w:t>国有</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闲置</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sz w:val="24"/>
              </w:rPr>
            </w:pPr>
            <w:r>
              <w:rPr>
                <w:rFonts w:hint="eastAsia"/>
                <w:sz w:val="24"/>
              </w:rPr>
              <w:t>现状</w:t>
            </w:r>
          </w:p>
          <w:p>
            <w:pPr>
              <w:spacing w:line="280" w:lineRule="exact"/>
              <w:jc w:val="center"/>
              <w:rPr>
                <w:sz w:val="24"/>
              </w:rPr>
            </w:pPr>
            <w:r>
              <w:rPr>
                <w:rFonts w:hint="eastAsia"/>
                <w:sz w:val="24"/>
              </w:rPr>
              <w:t>整修</w:t>
            </w:r>
          </w:p>
        </w:tc>
        <w:tc>
          <w:tcPr>
            <w:tcW w:w="2834"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280" w:lineRule="exact"/>
              <w:jc w:val="center"/>
              <w:rPr>
                <w:sz w:val="24"/>
              </w:rPr>
            </w:pPr>
            <w:r>
              <w:rPr>
                <w:rFonts w:hint="eastAsia"/>
                <w:sz w:val="24"/>
              </w:rPr>
              <w:t>原状展示</w:t>
            </w:r>
          </w:p>
        </w:tc>
      </w:tr>
    </w:tbl>
    <w:p>
      <w:pPr>
        <w:jc w:val="left"/>
        <w:sectPr>
          <w:pgSz w:w="16838" w:h="11906" w:orient="landscape"/>
          <w:pgMar w:top="1531" w:right="1928" w:bottom="1531" w:left="1814" w:header="851" w:footer="1191" w:gutter="0"/>
          <w:pgNumType w:fmt="numberInDash"/>
          <w:cols w:space="720" w:num="1"/>
          <w:docGrid w:type="lines" w:linePitch="435" w:charSpace="0"/>
        </w:sectPr>
      </w:pPr>
    </w:p>
    <w:p>
      <w:pPr>
        <w:keepNext w:val="0"/>
        <w:keepLines w:val="0"/>
        <w:pageBreakBefore w:val="0"/>
        <w:widowControl w:val="0"/>
        <w:kinsoku/>
        <w:wordWrap w:val="0"/>
        <w:overflowPunct/>
        <w:topLinePunct w:val="0"/>
        <w:autoSpaceDE/>
        <w:autoSpaceDN/>
        <w:bidi w:val="0"/>
        <w:adjustRightInd/>
        <w:snapToGrid/>
        <w:spacing w:line="240" w:lineRule="exact"/>
        <w:ind w:firstLine="4320" w:firstLineChars="1800"/>
        <w:jc w:val="both"/>
        <w:textAlignment w:val="auto"/>
        <w:rPr>
          <w:rFonts w:hint="default" w:ascii="宋体" w:hAnsi="宋体" w:cs="宋体"/>
          <w:sz w:val="24"/>
          <w:szCs w:val="24"/>
          <w:lang w:val="en-US" w:eastAsia="zh-CN"/>
        </w:rPr>
      </w:pPr>
    </w:p>
    <w:p>
      <w:pPr>
        <w:pStyle w:val="2"/>
        <w:rPr>
          <w:rFonts w:hint="default" w:ascii="宋体" w:hAnsi="宋体" w:cs="宋体"/>
          <w:sz w:val="24"/>
          <w:szCs w:val="24"/>
          <w:lang w:val="en-US" w:eastAsia="zh-CN"/>
        </w:rPr>
      </w:pPr>
    </w:p>
    <w:p>
      <w:pPr>
        <w:rPr>
          <w:rFonts w:hint="default" w:ascii="宋体" w:hAnsi="宋体" w:cs="宋体"/>
          <w:sz w:val="24"/>
          <w:szCs w:val="24"/>
          <w:lang w:val="en-US" w:eastAsia="zh-CN"/>
        </w:rPr>
      </w:pPr>
    </w:p>
    <w:p>
      <w:pPr>
        <w:pStyle w:val="2"/>
        <w:rPr>
          <w:rFonts w:hint="default" w:ascii="宋体" w:hAnsi="宋体" w:cs="宋体"/>
          <w:sz w:val="24"/>
          <w:szCs w:val="24"/>
          <w:lang w:val="en-US" w:eastAsia="zh-CN"/>
        </w:rPr>
      </w:pPr>
    </w:p>
    <w:p>
      <w:pPr>
        <w:rPr>
          <w:rFonts w:hint="default" w:ascii="宋体" w:hAnsi="宋体" w:cs="宋体"/>
          <w:sz w:val="24"/>
          <w:szCs w:val="24"/>
          <w:lang w:val="en-US" w:eastAsia="zh-CN"/>
        </w:rPr>
      </w:pPr>
    </w:p>
    <w:p>
      <w:pPr>
        <w:pStyle w:val="2"/>
        <w:rPr>
          <w:rFonts w:hint="default" w:ascii="宋体" w:hAnsi="宋体" w:cs="宋体"/>
          <w:sz w:val="24"/>
          <w:szCs w:val="24"/>
          <w:lang w:val="en-US" w:eastAsia="zh-CN"/>
        </w:rPr>
      </w:pPr>
    </w:p>
    <w:p>
      <w:pPr>
        <w:rPr>
          <w:rFonts w:hint="default" w:ascii="宋体" w:hAnsi="宋体" w:cs="宋体"/>
          <w:sz w:val="24"/>
          <w:szCs w:val="24"/>
          <w:lang w:val="en-US" w:eastAsia="zh-CN"/>
        </w:rPr>
      </w:pPr>
    </w:p>
    <w:p>
      <w:pPr>
        <w:pStyle w:val="2"/>
        <w:rPr>
          <w:rFonts w:hint="default" w:ascii="宋体" w:hAnsi="宋体" w:cs="宋体"/>
          <w:sz w:val="24"/>
          <w:szCs w:val="24"/>
          <w:lang w:val="en-US" w:eastAsia="zh-CN"/>
        </w:rPr>
      </w:pPr>
    </w:p>
    <w:p>
      <w:pPr>
        <w:rPr>
          <w:rFonts w:hint="default" w:ascii="宋体" w:hAnsi="宋体" w:cs="宋体"/>
          <w:sz w:val="24"/>
          <w:szCs w:val="24"/>
          <w:lang w:val="en-US" w:eastAsia="zh-CN"/>
        </w:rPr>
      </w:pPr>
    </w:p>
    <w:p>
      <w:pPr>
        <w:pStyle w:val="2"/>
        <w:rPr>
          <w:rFonts w:hint="default" w:ascii="宋体" w:hAnsi="宋体" w:cs="宋体"/>
          <w:sz w:val="24"/>
          <w:szCs w:val="24"/>
          <w:lang w:val="en-US" w:eastAsia="zh-CN"/>
        </w:rPr>
      </w:pPr>
    </w:p>
    <w:p>
      <w:pPr>
        <w:rPr>
          <w:rFonts w:hint="default" w:ascii="宋体" w:hAnsi="宋体" w:cs="宋体"/>
          <w:sz w:val="24"/>
          <w:szCs w:val="24"/>
          <w:lang w:val="en-US" w:eastAsia="zh-CN"/>
        </w:rPr>
      </w:pPr>
    </w:p>
    <w:p>
      <w:pPr>
        <w:pStyle w:val="2"/>
        <w:rPr>
          <w:rFonts w:hint="default" w:ascii="宋体" w:hAnsi="宋体" w:cs="宋体"/>
          <w:sz w:val="24"/>
          <w:szCs w:val="24"/>
          <w:lang w:val="en-US" w:eastAsia="zh-CN"/>
        </w:rPr>
      </w:pPr>
    </w:p>
    <w:p>
      <w:pPr>
        <w:rPr>
          <w:rFonts w:hint="default" w:ascii="宋体" w:hAnsi="宋体" w:cs="宋体"/>
          <w:sz w:val="24"/>
          <w:szCs w:val="24"/>
          <w:lang w:val="en-US" w:eastAsia="zh-CN"/>
        </w:rPr>
      </w:pPr>
    </w:p>
    <w:p>
      <w:pPr>
        <w:pStyle w:val="2"/>
        <w:rPr>
          <w:rFonts w:hint="default" w:ascii="宋体" w:hAnsi="宋体" w:cs="宋体"/>
          <w:sz w:val="24"/>
          <w:szCs w:val="24"/>
          <w:lang w:val="en-US" w:eastAsia="zh-CN"/>
        </w:rPr>
      </w:pPr>
    </w:p>
    <w:p>
      <w:pPr>
        <w:rPr>
          <w:rFonts w:hint="default" w:ascii="宋体" w:hAnsi="宋体" w:cs="宋体"/>
          <w:sz w:val="24"/>
          <w:szCs w:val="24"/>
          <w:lang w:val="en-US" w:eastAsia="zh-CN"/>
        </w:rPr>
      </w:pPr>
    </w:p>
    <w:p>
      <w:pPr>
        <w:pStyle w:val="2"/>
        <w:rPr>
          <w:rFonts w:hint="default" w:ascii="宋体" w:hAnsi="宋体" w:cs="宋体"/>
          <w:sz w:val="24"/>
          <w:szCs w:val="24"/>
          <w:lang w:val="en-US" w:eastAsia="zh-CN"/>
        </w:rPr>
      </w:pPr>
    </w:p>
    <w:p>
      <w:pPr>
        <w:rPr>
          <w:rFonts w:hint="default" w:ascii="宋体" w:hAnsi="宋体" w:cs="宋体"/>
          <w:sz w:val="24"/>
          <w:szCs w:val="24"/>
          <w:lang w:val="en-US" w:eastAsia="zh-CN"/>
        </w:rPr>
      </w:pPr>
    </w:p>
    <w:p>
      <w:pPr>
        <w:pStyle w:val="2"/>
        <w:rPr>
          <w:rFonts w:hint="default" w:ascii="宋体" w:hAnsi="宋体" w:cs="宋体"/>
          <w:sz w:val="24"/>
          <w:szCs w:val="24"/>
          <w:lang w:val="en-US" w:eastAsia="zh-CN"/>
        </w:rPr>
      </w:pPr>
    </w:p>
    <w:p>
      <w:pPr>
        <w:rPr>
          <w:rFonts w:hint="default" w:ascii="宋体" w:hAnsi="宋体" w:cs="宋体"/>
          <w:sz w:val="24"/>
          <w:szCs w:val="24"/>
          <w:lang w:val="en-US" w:eastAsia="zh-CN"/>
        </w:rPr>
      </w:pPr>
    </w:p>
    <w:p>
      <w:pPr>
        <w:pStyle w:val="2"/>
        <w:rPr>
          <w:rFonts w:hint="default" w:ascii="宋体" w:hAnsi="宋体" w:cs="宋体"/>
          <w:sz w:val="24"/>
          <w:szCs w:val="24"/>
          <w:lang w:val="en-US" w:eastAsia="zh-CN"/>
        </w:rPr>
      </w:pPr>
    </w:p>
    <w:p>
      <w:pPr>
        <w:rPr>
          <w:rFonts w:hint="default" w:ascii="宋体" w:hAnsi="宋体" w:cs="宋体"/>
          <w:sz w:val="24"/>
          <w:szCs w:val="24"/>
          <w:lang w:val="en-US" w:eastAsia="zh-CN"/>
        </w:rPr>
      </w:pPr>
    </w:p>
    <w:p>
      <w:pPr>
        <w:pStyle w:val="2"/>
        <w:rPr>
          <w:rFonts w:hint="default" w:ascii="宋体" w:hAnsi="宋体" w:cs="宋体"/>
          <w:sz w:val="24"/>
          <w:szCs w:val="24"/>
          <w:lang w:val="en-US" w:eastAsia="zh-CN"/>
        </w:rPr>
      </w:pPr>
    </w:p>
    <w:p>
      <w:pPr>
        <w:rPr>
          <w:rFonts w:hint="default" w:ascii="宋体" w:hAnsi="宋体" w:cs="宋体"/>
          <w:sz w:val="24"/>
          <w:szCs w:val="24"/>
          <w:lang w:val="en-US" w:eastAsia="zh-CN"/>
        </w:rPr>
      </w:pPr>
    </w:p>
    <w:p>
      <w:pPr>
        <w:rPr>
          <w:rFonts w:hint="default" w:ascii="宋体" w:hAnsi="宋体" w:cs="宋体"/>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ascii="宋体" w:hAnsi="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lang w:val="en-US" w:eastAsia="zh-CN"/>
        </w:rPr>
      </w:pPr>
    </w:p>
    <w:p>
      <w:pPr>
        <w:keepNext w:val="0"/>
        <w:keepLines w:val="0"/>
        <w:pageBreakBefore w:val="0"/>
        <w:widowControl w:val="0"/>
        <w:kinsoku/>
        <w:wordWrap w:val="0"/>
        <w:overflowPunct/>
        <w:topLinePunct w:val="0"/>
        <w:autoSpaceDE/>
        <w:autoSpaceDN/>
        <w:bidi w:val="0"/>
        <w:adjustRightInd/>
        <w:snapToGrid/>
        <w:spacing w:line="240" w:lineRule="exact"/>
        <w:ind w:firstLine="4320" w:firstLineChars="1800"/>
        <w:jc w:val="both"/>
        <w:textAlignment w:val="auto"/>
        <w:rPr>
          <w:rFonts w:hint="default" w:ascii="宋体" w:hAnsi="宋体" w:cs="宋体"/>
          <w:sz w:val="24"/>
          <w:szCs w:val="24"/>
          <w:lang w:val="en-US" w:eastAsia="zh-CN"/>
        </w:rPr>
      </w:pPr>
    </w:p>
    <w:p>
      <w:pPr>
        <w:keepNext w:val="0"/>
        <w:keepLines w:val="0"/>
        <w:pageBreakBefore w:val="0"/>
        <w:widowControl w:val="0"/>
        <w:kinsoku/>
        <w:wordWrap w:val="0"/>
        <w:overflowPunct/>
        <w:topLinePunct w:val="0"/>
        <w:autoSpaceDE/>
        <w:autoSpaceDN/>
        <w:bidi w:val="0"/>
        <w:adjustRightInd/>
        <w:snapToGrid/>
        <w:spacing w:line="240" w:lineRule="exact"/>
        <w:ind w:firstLine="4320" w:firstLineChars="1800"/>
        <w:jc w:val="both"/>
        <w:textAlignment w:val="auto"/>
        <w:rPr>
          <w:rFonts w:hint="default" w:ascii="宋体" w:hAnsi="宋体" w:cs="宋体"/>
          <w:sz w:val="24"/>
          <w:szCs w:val="24"/>
          <w:lang w:val="en-US" w:eastAsia="zh-CN"/>
        </w:rPr>
      </w:pPr>
    </w:p>
    <w:p>
      <w:pPr>
        <w:keepNext w:val="0"/>
        <w:keepLines w:val="0"/>
        <w:pageBreakBefore w:val="0"/>
        <w:widowControl w:val="0"/>
        <w:pBdr>
          <w:top w:val="single" w:color="auto" w:sz="4" w:space="1"/>
          <w:left w:val="none" w:color="auto" w:sz="0" w:space="4"/>
          <w:bottom w:val="single" w:color="auto" w:sz="4" w:space="1"/>
          <w:right w:val="none" w:color="auto" w:sz="0" w:space="4"/>
          <w:between w:val="none" w:color="auto" w:sz="0" w:space="0"/>
        </w:pBdr>
        <w:tabs>
          <w:tab w:val="right" w:pos="8820"/>
        </w:tabs>
        <w:kinsoku/>
        <w:wordWrap w:val="0"/>
        <w:overflowPunct/>
        <w:topLinePunct w:val="0"/>
        <w:autoSpaceDE/>
        <w:autoSpaceDN/>
        <w:bidi w:val="0"/>
        <w:adjustRightInd/>
        <w:snapToGrid/>
        <w:spacing w:line="440" w:lineRule="exact"/>
        <w:ind w:firstLine="280" w:firstLineChars="100"/>
        <w:jc w:val="both"/>
        <w:textAlignment w:val="auto"/>
      </w:pPr>
      <w:r>
        <w:rPr>
          <w:rFonts w:hint="eastAsia" w:ascii="仿宋_GB2312" w:hAnsi="仿宋_GB2312" w:eastAsia="仿宋_GB2312" w:cs="仿宋_GB2312"/>
          <w:sz w:val="28"/>
          <w:szCs w:val="28"/>
          <w:lang w:val="en-US" w:eastAsia="zh-CN"/>
        </w:rPr>
        <w:t>铜鼓县人民政府办公室</w:t>
      </w:r>
      <w:r>
        <w:rPr>
          <w:rFonts w:hint="eastAsia" w:hAnsi="仿宋_GB2312" w:cs="仿宋_GB2312"/>
          <w:sz w:val="28"/>
          <w:szCs w:val="28"/>
          <w:lang w:val="en-US" w:eastAsia="zh-CN"/>
        </w:rPr>
        <w:t xml:space="preserve">                  </w:t>
      </w:r>
      <w:r>
        <w:rPr>
          <w:rFonts w:hint="eastAsia" w:ascii="仿宋_GB2312" w:hAnsi="仿宋_GB2312" w:eastAsia="仿宋_GB2312" w:cs="仿宋_GB2312"/>
          <w:sz w:val="28"/>
          <w:szCs w:val="28"/>
          <w:lang w:val="en-US" w:eastAsia="zh-CN"/>
        </w:rPr>
        <w:t>2023年</w:t>
      </w:r>
      <w:r>
        <w:rPr>
          <w:rFonts w:hint="eastAsia" w:hAnsi="仿宋_GB2312" w:cs="仿宋_GB2312"/>
          <w:sz w:val="28"/>
          <w:szCs w:val="28"/>
          <w:lang w:val="en-US" w:eastAsia="zh-CN"/>
        </w:rPr>
        <w:t>7</w:t>
      </w:r>
      <w:r>
        <w:rPr>
          <w:rFonts w:hint="eastAsia" w:ascii="仿宋_GB2312" w:hAnsi="仿宋_GB2312" w:eastAsia="仿宋_GB2312" w:cs="仿宋_GB2312"/>
          <w:sz w:val="28"/>
          <w:szCs w:val="28"/>
          <w:lang w:val="en-US" w:eastAsia="zh-CN"/>
        </w:rPr>
        <w:t>月2</w:t>
      </w:r>
      <w:r>
        <w:rPr>
          <w:rFonts w:hint="eastAsia" w:hAnsi="仿宋_GB2312" w:cs="仿宋_GB2312"/>
          <w:sz w:val="28"/>
          <w:szCs w:val="28"/>
          <w:lang w:val="en-US" w:eastAsia="zh-CN"/>
        </w:rPr>
        <w:t>0</w:t>
      </w:r>
      <w:r>
        <w:rPr>
          <w:rFonts w:hint="eastAsia" w:ascii="仿宋_GB2312" w:hAnsi="仿宋_GB2312" w:eastAsia="仿宋_GB2312" w:cs="仿宋_GB2312"/>
          <w:sz w:val="28"/>
          <w:szCs w:val="28"/>
          <w:lang w:val="en-US" w:eastAsia="zh-CN"/>
        </w:rPr>
        <w:t>日印发</w:t>
      </w:r>
    </w:p>
    <w:sectPr>
      <w:pgSz w:w="11906" w:h="16838"/>
      <w:pgMar w:top="1928" w:right="1531" w:bottom="1814" w:left="1531" w:header="851" w:footer="1304" w:gutter="0"/>
      <w:pgNumType w:fmt="numberInDash"/>
      <w:cols w:space="720" w:num="1"/>
      <w:docGrid w:type="linesAndChar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112CE69-1AA1-4051-A434-EF803D7AA5C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DBF5A1E8-D522-435B-BE35-9462C924FF17}"/>
  </w:font>
  <w:font w:name="仿宋_GB2312">
    <w:panose1 w:val="02010609030101010101"/>
    <w:charset w:val="86"/>
    <w:family w:val="modern"/>
    <w:pitch w:val="default"/>
    <w:sig w:usb0="00000001" w:usb1="080E0000" w:usb2="00000000" w:usb3="00000000" w:csb0="00040000" w:csb1="00000000"/>
    <w:embedRegular r:id="rId3" w:fontKey="{F22CD504-96E8-4025-9FDB-1E63FDED4A65}"/>
  </w:font>
  <w:font w:name="等线 Light">
    <w:panose1 w:val="02010600030101010101"/>
    <w:charset w:val="86"/>
    <w:family w:val="auto"/>
    <w:pitch w:val="default"/>
    <w:sig w:usb0="A00002BF" w:usb1="38CF7CFA" w:usb2="00000016" w:usb3="00000000" w:csb0="0004000F" w:csb1="00000000"/>
    <w:embedRegular r:id="rId4" w:fontKey="{2FC4674A-9536-4EC5-92E0-BAA15F284B75}"/>
  </w:font>
  <w:font w:name="方正小标宋简体">
    <w:panose1 w:val="02010601030101010101"/>
    <w:charset w:val="86"/>
    <w:family w:val="auto"/>
    <w:pitch w:val="default"/>
    <w:sig w:usb0="00000001" w:usb1="080E0000" w:usb2="00000000" w:usb3="00000000" w:csb0="00040000" w:csb1="00000000"/>
  </w:font>
  <w:font w:name="方正大标宋简体">
    <w:panose1 w:val="02010601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embedRegular r:id="rId5" w:fontKey="{F8A6A76A-FB08-4DEC-98EB-ADBFDB7B1B52}"/>
  </w:font>
  <w:font w:name="楷体">
    <w:panose1 w:val="02010609060101010101"/>
    <w:charset w:val="86"/>
    <w:family w:val="modern"/>
    <w:pitch w:val="default"/>
    <w:sig w:usb0="800002BF" w:usb1="38CF7CFA" w:usb2="00000016" w:usb3="00000000" w:csb0="00040001" w:csb1="00000000"/>
    <w:embedRegular r:id="rId6" w:fontKey="{C829C0A1-0AF9-41EF-A6CD-DA4E47F08F1C}"/>
  </w:font>
  <w:font w:name="楷体_GB2312">
    <w:panose1 w:val="02010609030101010101"/>
    <w:charset w:val="86"/>
    <w:family w:val="modern"/>
    <w:pitch w:val="default"/>
    <w:sig w:usb0="00000001" w:usb1="080E0000" w:usb2="00000000" w:usb3="00000000" w:csb0="00040000" w:csb1="00000000"/>
    <w:embedRegular r:id="rId7" w:fontKey="{64066979-99D2-4F5C-BBA7-779D037B6F77}"/>
  </w:font>
  <w:font w:name="仿宋">
    <w:panose1 w:val="02010609060101010101"/>
    <w:charset w:val="86"/>
    <w:family w:val="modern"/>
    <w:pitch w:val="default"/>
    <w:sig w:usb0="800002BF" w:usb1="38CF7CFA" w:usb2="00000016" w:usb3="00000000" w:csb0="00040001" w:csb1="00000000"/>
    <w:embedRegular r:id="rId8" w:fontKey="{C8CB5E7E-A249-4C5B-8D2A-01BEC5CF910E}"/>
  </w:font>
  <w:font w:name="微软雅黑">
    <w:panose1 w:val="020B0503020204020204"/>
    <w:charset w:val="86"/>
    <w:family w:val="swiss"/>
    <w:pitch w:val="default"/>
    <w:sig w:usb0="80000287" w:usb1="280F3C52" w:usb2="00000016" w:usb3="00000000" w:csb0="0004001F" w:csb1="00000000"/>
    <w:embedRegular r:id="rId9" w:fontKey="{E16E8083-FD2F-4B78-8842-26124DB6E351}"/>
  </w:font>
  <w:font w:name="华文行楷">
    <w:panose1 w:val="02010800040101010101"/>
    <w:charset w:val="86"/>
    <w:family w:val="auto"/>
    <w:pitch w:val="default"/>
    <w:sig w:usb0="00000001" w:usb1="080F0000" w:usb2="00000000" w:usb3="00000000" w:csb0="00040000" w:csb1="00000000"/>
  </w:font>
  <w:font w:name="宋体-方正超大字符集">
    <w:panose1 w:val="03000509000000000000"/>
    <w:charset w:val="86"/>
    <w:family w:val="auto"/>
    <w:pitch w:val="default"/>
    <w:sig w:usb0="00000001" w:usb1="080E0000" w:usb2="00000000" w:usb3="00000000" w:csb0="00040000" w:csb1="00000000"/>
  </w:font>
  <w:font w:name="叶根友风帆特色">
    <w:panose1 w:val="02010601030101010101"/>
    <w:charset w:val="86"/>
    <w:family w:val="auto"/>
    <w:pitch w:val="default"/>
    <w:sig w:usb0="00000001" w:usb1="080E0000" w:usb2="00000000" w:usb3="00000000" w:csb0="00040000" w:csb1="00000000"/>
  </w:font>
  <w:font w:name="叶根友行书(繁)08">
    <w:panose1 w:val="02010601030101010101"/>
    <w:charset w:val="86"/>
    <w:family w:val="auto"/>
    <w:pitch w:val="default"/>
    <w:sig w:usb0="00000001" w:usb1="080E0000" w:usb2="00000000" w:usb3="00000000" w:csb0="00040000" w:csb1="00000000"/>
  </w:font>
  <w:font w:name="叶根友神工体08">
    <w:panose1 w:val="02010601030101010101"/>
    <w:charset w:val="86"/>
    <w:family w:val="auto"/>
    <w:pitch w:val="default"/>
    <w:sig w:usb0="00000001" w:usb1="080E0000" w:usb2="00000000" w:usb3="00000000" w:csb0="00040000" w:csb1="00000000"/>
  </w:font>
  <w:font w:name="叶根友特色空心简体终极版">
    <w:panose1 w:val="02010601030101010101"/>
    <w:charset w:val="86"/>
    <w:family w:val="auto"/>
    <w:pitch w:val="default"/>
    <w:sig w:usb0="00000001" w:usb1="080E0000" w:usb2="00000000" w:usb3="00000000" w:csb0="00040000" w:csb1="00000000"/>
  </w:font>
  <w:font w:name="叶根友小京楷简体">
    <w:panose1 w:val="02010601030101010101"/>
    <w:charset w:val="86"/>
    <w:family w:val="auto"/>
    <w:pitch w:val="default"/>
    <w:sig w:usb0="00000001" w:usb1="080E0000" w:usb2="00000000" w:usb3="00000000" w:csb0="00040000" w:csb1="00000000"/>
  </w:font>
  <w:font w:name="微软简仿宋">
    <w:panose1 w:val="00000000000000000000"/>
    <w:charset w:val="80"/>
    <w:family w:val="auto"/>
    <w:pitch w:val="default"/>
    <w:sig w:usb0="00000283" w:usb1="180F1C10" w:usb2="00000016" w:usb3="00000000" w:csb0="40020001" w:csb1="C0D60000"/>
  </w:font>
  <w:font w:name="宋体-PUA">
    <w:panose1 w:val="02010600030101010101"/>
    <w:charset w:val="86"/>
    <w:family w:val="auto"/>
    <w:pitch w:val="default"/>
    <w:sig w:usb0="00000000" w:usb1="10000000" w:usb2="00000000" w:usb3="00000000" w:csb0="00040000" w:csb1="00000000"/>
  </w:font>
  <w:font w:name="方正全福体">
    <w:panose1 w:val="02000500000000000000"/>
    <w:charset w:val="86"/>
    <w:family w:val="auto"/>
    <w:pitch w:val="default"/>
    <w:sig w:usb0="A00002BF" w:usb1="184F6CFA" w:usb2="00000012" w:usb3="00000000" w:csb0="00040001" w:csb1="00000000"/>
  </w:font>
  <w:font w:name="书体坊安景臣钢笔行书">
    <w:panose1 w:val="02010601030101010101"/>
    <w:charset w:val="86"/>
    <w:family w:val="auto"/>
    <w:pitch w:val="default"/>
    <w:sig w:usb0="00000001" w:usb1="080E0000" w:usb2="00000000" w:usb3="00000000" w:csb0="00040000" w:csb1="00000000"/>
  </w:font>
  <w:font w:name="书体坊郭小语钢笔楷体">
    <w:panose1 w:val="02010601030101010101"/>
    <w:charset w:val="86"/>
    <w:family w:val="auto"/>
    <w:pitch w:val="default"/>
    <w:sig w:usb0="00000001" w:usb1="080E0000" w:usb2="00000000" w:usb3="00000000" w:csb0="00040000" w:csb1="00000000"/>
  </w:font>
  <w:font w:name="刘德华字体叶根友仿版">
    <w:panose1 w:val="02010601030101010101"/>
    <w:charset w:val="86"/>
    <w:family w:val="auto"/>
    <w:pitch w:val="default"/>
    <w:sig w:usb0="00000001" w:usb1="080E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全新硬笔行书简">
    <w:panose1 w:val="02010600040101010101"/>
    <w:charset w:val="86"/>
    <w:family w:val="auto"/>
    <w:pitch w:val="default"/>
    <w:sig w:usb0="00000001" w:usb1="080E0000" w:usb2="00000000" w:usb3="00000000" w:csb0="00040000" w:csb1="00000000"/>
  </w:font>
  <w:font w:name="书体坊赵九江钢笔行书">
    <w:panose1 w:val="03000509000000000000"/>
    <w:charset w:val="86"/>
    <w:family w:val="auto"/>
    <w:pitch w:val="default"/>
    <w:sig w:usb0="00000001" w:usb1="080E0000" w:usb2="00000000" w:usb3="00000000" w:csb0="00040000" w:csb1="00000000"/>
  </w:font>
  <w:font w:name="锐字温帅小可爱简">
    <w:panose1 w:val="02010604000000000000"/>
    <w:charset w:val="86"/>
    <w:family w:val="auto"/>
    <w:pitch w:val="default"/>
    <w:sig w:usb0="00000003" w:usb1="080E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w:t>
    </w:r>
    <w:r>
      <w:rPr>
        <w:rFonts w:hint="eastAsia" w:ascii="宋体" w:hAnsi="宋体" w:eastAsia="宋体" w:cs="宋体"/>
        <w:sz w:val="28"/>
        <w:szCs w:val="28"/>
      </w:rPr>
      <w:t xml:space="preserve"> 3 -</w:t>
    </w:r>
    <w:r>
      <w:rPr>
        <w:rFonts w:hint="eastAsia" w:ascii="宋体" w:hAnsi="宋体" w:eastAsia="宋体" w:cs="宋体"/>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w:t>
    </w:r>
    <w:r>
      <w:rPr>
        <w:rFonts w:hint="eastAsia" w:ascii="宋体" w:hAnsi="宋体" w:eastAsia="宋体" w:cs="宋体"/>
        <w:sz w:val="28"/>
        <w:szCs w:val="28"/>
      </w:rPr>
      <w:t xml:space="preserve"> 2 -</w:t>
    </w:r>
    <w:r>
      <w:rPr>
        <w:rFonts w:hint="eastAsia" w:ascii="宋体" w:hAnsi="宋体" w:eastAsia="宋体" w:cs="宋体"/>
        <w:sz w:val="28"/>
        <w:szCs w:val="2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D63FBA"/>
    <w:multiLevelType w:val="singleLevel"/>
    <w:tmpl w:val="A0D63FBA"/>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1"/>
  <w:bordersDoNotSurroundFooter w:val="1"/>
  <w:documentProtection w:enforcement="0"/>
  <w:defaultTabStop w:val="420"/>
  <w:evenAndOddHeaders w:val="1"/>
  <w:drawingGridHorizontalSpacing w:val="160"/>
  <w:drawingGridVerticalSpacing w:val="435"/>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E2N2MwZmMzZjZhZmJkNmFmZTNhY2I0MTU3MjNlYWEifQ=="/>
  </w:docVars>
  <w:rsids>
    <w:rsidRoot w:val="1ECD1E5D"/>
    <w:rsid w:val="00000E6F"/>
    <w:rsid w:val="000030E7"/>
    <w:rsid w:val="0000794D"/>
    <w:rsid w:val="000204F9"/>
    <w:rsid w:val="0004293B"/>
    <w:rsid w:val="000712AA"/>
    <w:rsid w:val="0008198C"/>
    <w:rsid w:val="000822C0"/>
    <w:rsid w:val="000846B7"/>
    <w:rsid w:val="000E6B3C"/>
    <w:rsid w:val="000F20EE"/>
    <w:rsid w:val="0010577D"/>
    <w:rsid w:val="00112298"/>
    <w:rsid w:val="001202BE"/>
    <w:rsid w:val="00130FA4"/>
    <w:rsid w:val="00145698"/>
    <w:rsid w:val="00165B50"/>
    <w:rsid w:val="00175F9D"/>
    <w:rsid w:val="001C5F73"/>
    <w:rsid w:val="001F736C"/>
    <w:rsid w:val="0020354F"/>
    <w:rsid w:val="002217A4"/>
    <w:rsid w:val="00231D4B"/>
    <w:rsid w:val="00236340"/>
    <w:rsid w:val="00297344"/>
    <w:rsid w:val="002C20F7"/>
    <w:rsid w:val="002C3CE7"/>
    <w:rsid w:val="002D3381"/>
    <w:rsid w:val="002D6C87"/>
    <w:rsid w:val="002D76B5"/>
    <w:rsid w:val="002E6FFB"/>
    <w:rsid w:val="00304518"/>
    <w:rsid w:val="00306513"/>
    <w:rsid w:val="00316A94"/>
    <w:rsid w:val="00327EEA"/>
    <w:rsid w:val="00331804"/>
    <w:rsid w:val="00337543"/>
    <w:rsid w:val="00362FC0"/>
    <w:rsid w:val="003A0B69"/>
    <w:rsid w:val="003A3F3E"/>
    <w:rsid w:val="003A4A94"/>
    <w:rsid w:val="003C3FAC"/>
    <w:rsid w:val="003F3ED8"/>
    <w:rsid w:val="003F6827"/>
    <w:rsid w:val="00403D9B"/>
    <w:rsid w:val="004246DF"/>
    <w:rsid w:val="004250BD"/>
    <w:rsid w:val="004670D1"/>
    <w:rsid w:val="004B0D43"/>
    <w:rsid w:val="004B1739"/>
    <w:rsid w:val="004C1E8B"/>
    <w:rsid w:val="004C2541"/>
    <w:rsid w:val="004C567F"/>
    <w:rsid w:val="004F08E0"/>
    <w:rsid w:val="004F32F1"/>
    <w:rsid w:val="004F6F78"/>
    <w:rsid w:val="004F781B"/>
    <w:rsid w:val="00516501"/>
    <w:rsid w:val="00516563"/>
    <w:rsid w:val="00551E71"/>
    <w:rsid w:val="00586441"/>
    <w:rsid w:val="005C3609"/>
    <w:rsid w:val="005E57F6"/>
    <w:rsid w:val="00627601"/>
    <w:rsid w:val="0063732A"/>
    <w:rsid w:val="00643B3F"/>
    <w:rsid w:val="00643EBC"/>
    <w:rsid w:val="00662BC5"/>
    <w:rsid w:val="00675E91"/>
    <w:rsid w:val="00676705"/>
    <w:rsid w:val="00683B1B"/>
    <w:rsid w:val="006946B9"/>
    <w:rsid w:val="006C32DE"/>
    <w:rsid w:val="006E6255"/>
    <w:rsid w:val="006F4551"/>
    <w:rsid w:val="00710B80"/>
    <w:rsid w:val="007237DE"/>
    <w:rsid w:val="007258F2"/>
    <w:rsid w:val="00740408"/>
    <w:rsid w:val="007419E3"/>
    <w:rsid w:val="00741A5A"/>
    <w:rsid w:val="00745D39"/>
    <w:rsid w:val="007C2734"/>
    <w:rsid w:val="007D0BC1"/>
    <w:rsid w:val="007D2BE2"/>
    <w:rsid w:val="007E0F82"/>
    <w:rsid w:val="007E6F97"/>
    <w:rsid w:val="00801E16"/>
    <w:rsid w:val="00813D14"/>
    <w:rsid w:val="00823033"/>
    <w:rsid w:val="00823E3D"/>
    <w:rsid w:val="0084076F"/>
    <w:rsid w:val="00844594"/>
    <w:rsid w:val="00851211"/>
    <w:rsid w:val="008575E5"/>
    <w:rsid w:val="00862AF3"/>
    <w:rsid w:val="008779E0"/>
    <w:rsid w:val="00881428"/>
    <w:rsid w:val="00890097"/>
    <w:rsid w:val="008A3777"/>
    <w:rsid w:val="008C2E70"/>
    <w:rsid w:val="009250BD"/>
    <w:rsid w:val="00926473"/>
    <w:rsid w:val="00930CC5"/>
    <w:rsid w:val="00936B7F"/>
    <w:rsid w:val="0094494A"/>
    <w:rsid w:val="00981121"/>
    <w:rsid w:val="009B793E"/>
    <w:rsid w:val="009F5930"/>
    <w:rsid w:val="009F72ED"/>
    <w:rsid w:val="00A14325"/>
    <w:rsid w:val="00A154CE"/>
    <w:rsid w:val="00A17D80"/>
    <w:rsid w:val="00A31D28"/>
    <w:rsid w:val="00A34B5C"/>
    <w:rsid w:val="00A35BFD"/>
    <w:rsid w:val="00A409DE"/>
    <w:rsid w:val="00A41CE0"/>
    <w:rsid w:val="00A43DDC"/>
    <w:rsid w:val="00A5277B"/>
    <w:rsid w:val="00A641DD"/>
    <w:rsid w:val="00A771AA"/>
    <w:rsid w:val="00A80CAF"/>
    <w:rsid w:val="00AA0651"/>
    <w:rsid w:val="00AB6C38"/>
    <w:rsid w:val="00AE727A"/>
    <w:rsid w:val="00B56292"/>
    <w:rsid w:val="00B642A6"/>
    <w:rsid w:val="00B67DFF"/>
    <w:rsid w:val="00BA7B92"/>
    <w:rsid w:val="00BB59C3"/>
    <w:rsid w:val="00BD1451"/>
    <w:rsid w:val="00BD25E4"/>
    <w:rsid w:val="00BD5532"/>
    <w:rsid w:val="00C0476B"/>
    <w:rsid w:val="00C221C8"/>
    <w:rsid w:val="00C25FC8"/>
    <w:rsid w:val="00C34829"/>
    <w:rsid w:val="00C365B0"/>
    <w:rsid w:val="00C46AF0"/>
    <w:rsid w:val="00C47EF6"/>
    <w:rsid w:val="00C621F6"/>
    <w:rsid w:val="00C934DA"/>
    <w:rsid w:val="00C9720B"/>
    <w:rsid w:val="00CA1087"/>
    <w:rsid w:val="00CA2516"/>
    <w:rsid w:val="00CE3C1C"/>
    <w:rsid w:val="00CE6145"/>
    <w:rsid w:val="00CF4C90"/>
    <w:rsid w:val="00CF5C20"/>
    <w:rsid w:val="00D1132F"/>
    <w:rsid w:val="00D21F80"/>
    <w:rsid w:val="00D255E3"/>
    <w:rsid w:val="00D265D7"/>
    <w:rsid w:val="00D521CD"/>
    <w:rsid w:val="00D54478"/>
    <w:rsid w:val="00D56BCA"/>
    <w:rsid w:val="00D83A48"/>
    <w:rsid w:val="00D92AFC"/>
    <w:rsid w:val="00D966F0"/>
    <w:rsid w:val="00DC5638"/>
    <w:rsid w:val="00DF2752"/>
    <w:rsid w:val="00DF4FB9"/>
    <w:rsid w:val="00E202F4"/>
    <w:rsid w:val="00E310A1"/>
    <w:rsid w:val="00E34645"/>
    <w:rsid w:val="00E3745D"/>
    <w:rsid w:val="00E55F24"/>
    <w:rsid w:val="00E56FC1"/>
    <w:rsid w:val="00E65B4D"/>
    <w:rsid w:val="00E73611"/>
    <w:rsid w:val="00EE7177"/>
    <w:rsid w:val="00F5657A"/>
    <w:rsid w:val="00F728B8"/>
    <w:rsid w:val="00F91B78"/>
    <w:rsid w:val="00FB0865"/>
    <w:rsid w:val="00FC4F4F"/>
    <w:rsid w:val="00FE3936"/>
    <w:rsid w:val="00FF6778"/>
    <w:rsid w:val="00FF6985"/>
    <w:rsid w:val="01B4520B"/>
    <w:rsid w:val="02405F8A"/>
    <w:rsid w:val="02D93672"/>
    <w:rsid w:val="055B47FF"/>
    <w:rsid w:val="061B3680"/>
    <w:rsid w:val="074273EE"/>
    <w:rsid w:val="0B6F09A0"/>
    <w:rsid w:val="0B866991"/>
    <w:rsid w:val="0DB25F8E"/>
    <w:rsid w:val="0F4672D5"/>
    <w:rsid w:val="11B33522"/>
    <w:rsid w:val="12016703"/>
    <w:rsid w:val="13A7230D"/>
    <w:rsid w:val="13A742FF"/>
    <w:rsid w:val="14EA6870"/>
    <w:rsid w:val="189310B2"/>
    <w:rsid w:val="1A644AB4"/>
    <w:rsid w:val="1E240F52"/>
    <w:rsid w:val="1E3E73CA"/>
    <w:rsid w:val="1ECD1E5D"/>
    <w:rsid w:val="1EEC5078"/>
    <w:rsid w:val="1F933745"/>
    <w:rsid w:val="1F9C084C"/>
    <w:rsid w:val="23780055"/>
    <w:rsid w:val="23E732CD"/>
    <w:rsid w:val="25DA0320"/>
    <w:rsid w:val="264D464E"/>
    <w:rsid w:val="265F7732"/>
    <w:rsid w:val="26FF47CC"/>
    <w:rsid w:val="28B74948"/>
    <w:rsid w:val="28CD2F45"/>
    <w:rsid w:val="298C3BAE"/>
    <w:rsid w:val="2BCA4992"/>
    <w:rsid w:val="2CA860DE"/>
    <w:rsid w:val="2F9406BD"/>
    <w:rsid w:val="3029612C"/>
    <w:rsid w:val="30847806"/>
    <w:rsid w:val="30DF67EA"/>
    <w:rsid w:val="313703D4"/>
    <w:rsid w:val="32E667CC"/>
    <w:rsid w:val="34C603ED"/>
    <w:rsid w:val="34F52290"/>
    <w:rsid w:val="35330F2A"/>
    <w:rsid w:val="382676CE"/>
    <w:rsid w:val="3A1F597F"/>
    <w:rsid w:val="3A65563B"/>
    <w:rsid w:val="3ACA0D7B"/>
    <w:rsid w:val="3B673FAC"/>
    <w:rsid w:val="3D342D11"/>
    <w:rsid w:val="3D9F7A2D"/>
    <w:rsid w:val="3ED64565"/>
    <w:rsid w:val="3F1A7753"/>
    <w:rsid w:val="41FA1643"/>
    <w:rsid w:val="42AC6C2D"/>
    <w:rsid w:val="4319527E"/>
    <w:rsid w:val="43910F3B"/>
    <w:rsid w:val="45005731"/>
    <w:rsid w:val="457E31A4"/>
    <w:rsid w:val="459B35B0"/>
    <w:rsid w:val="49512DD4"/>
    <w:rsid w:val="49EC5A88"/>
    <w:rsid w:val="4B2772B4"/>
    <w:rsid w:val="4B647B68"/>
    <w:rsid w:val="4BD373C1"/>
    <w:rsid w:val="4C9318DA"/>
    <w:rsid w:val="4D4935B4"/>
    <w:rsid w:val="4E9904C8"/>
    <w:rsid w:val="4ED474CB"/>
    <w:rsid w:val="502F69FF"/>
    <w:rsid w:val="503474F4"/>
    <w:rsid w:val="50D6467C"/>
    <w:rsid w:val="525E1AA5"/>
    <w:rsid w:val="544B5E16"/>
    <w:rsid w:val="55591C14"/>
    <w:rsid w:val="55E93AE3"/>
    <w:rsid w:val="5813167F"/>
    <w:rsid w:val="584F78E7"/>
    <w:rsid w:val="5AE21C8B"/>
    <w:rsid w:val="5BF77075"/>
    <w:rsid w:val="5C284321"/>
    <w:rsid w:val="5C46636D"/>
    <w:rsid w:val="5CE9747F"/>
    <w:rsid w:val="5D75670B"/>
    <w:rsid w:val="5E072D15"/>
    <w:rsid w:val="5E631F59"/>
    <w:rsid w:val="5E780685"/>
    <w:rsid w:val="5FC5034E"/>
    <w:rsid w:val="615A6B87"/>
    <w:rsid w:val="62477288"/>
    <w:rsid w:val="6472739A"/>
    <w:rsid w:val="65E87E33"/>
    <w:rsid w:val="666340F3"/>
    <w:rsid w:val="6712684B"/>
    <w:rsid w:val="68126ECA"/>
    <w:rsid w:val="68471AB0"/>
    <w:rsid w:val="69C064B2"/>
    <w:rsid w:val="6ADC31C4"/>
    <w:rsid w:val="6F6D3A3A"/>
    <w:rsid w:val="6F762E92"/>
    <w:rsid w:val="6FAC2327"/>
    <w:rsid w:val="6FD76B30"/>
    <w:rsid w:val="71F64A01"/>
    <w:rsid w:val="720D5A8E"/>
    <w:rsid w:val="72CE60E3"/>
    <w:rsid w:val="72F47CBA"/>
    <w:rsid w:val="73925DF3"/>
    <w:rsid w:val="73D80DD7"/>
    <w:rsid w:val="749173C8"/>
    <w:rsid w:val="75022074"/>
    <w:rsid w:val="754D2C6E"/>
    <w:rsid w:val="794030BF"/>
    <w:rsid w:val="7A0F14BB"/>
    <w:rsid w:val="7A694B0F"/>
    <w:rsid w:val="7A6D4332"/>
    <w:rsid w:val="7BAD0F8C"/>
    <w:rsid w:val="7C934086"/>
    <w:rsid w:val="7CA125A7"/>
    <w:rsid w:val="7DA66353"/>
    <w:rsid w:val="7FBB79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hAnsi="Calibri" w:eastAsia="仿宋_GB2312" w:cs="Times New Roman"/>
      <w:kern w:val="2"/>
      <w:sz w:val="32"/>
      <w:szCs w:val="24"/>
      <w:lang w:val="en-US" w:eastAsia="zh-CN" w:bidi="ar-SA"/>
    </w:rPr>
  </w:style>
  <w:style w:type="paragraph" w:styleId="3">
    <w:name w:val="heading 1"/>
    <w:basedOn w:val="1"/>
    <w:next w:val="1"/>
    <w:link w:val="27"/>
    <w:qFormat/>
    <w:uiPriority w:val="0"/>
    <w:pPr>
      <w:spacing w:beforeAutospacing="1" w:afterAutospacing="1"/>
      <w:jc w:val="left"/>
      <w:outlineLvl w:val="0"/>
    </w:pPr>
    <w:rPr>
      <w:rFonts w:hint="eastAsia" w:ascii="宋体" w:hAnsi="宋体" w:eastAsia="宋体"/>
      <w:b/>
      <w:bCs/>
      <w:kern w:val="44"/>
      <w:sz w:val="48"/>
      <w:szCs w:val="4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2"/>
    <w:qFormat/>
    <w:uiPriority w:val="0"/>
    <w:pPr>
      <w:spacing w:after="120"/>
    </w:pPr>
    <w:rPr>
      <w:rFonts w:ascii="Times New Roman" w:hAnsi="Times New Roman" w:cs="宋体"/>
      <w:szCs w:val="21"/>
    </w:rPr>
  </w:style>
  <w:style w:type="paragraph" w:styleId="4">
    <w:name w:val="table of authorities"/>
    <w:basedOn w:val="1"/>
    <w:next w:val="1"/>
    <w:qFormat/>
    <w:uiPriority w:val="0"/>
    <w:pPr>
      <w:ind w:left="420" w:leftChars="200"/>
    </w:pPr>
    <w:rPr>
      <w:rFonts w:ascii="Times New Roman" w:eastAsia="宋体" w:cs="宋体"/>
      <w:sz w:val="21"/>
    </w:rPr>
  </w:style>
  <w:style w:type="paragraph" w:styleId="5">
    <w:name w:val="Note Heading"/>
    <w:basedOn w:val="1"/>
    <w:next w:val="1"/>
    <w:link w:val="28"/>
    <w:qFormat/>
    <w:uiPriority w:val="0"/>
    <w:pPr>
      <w:jc w:val="center"/>
    </w:pPr>
    <w:rPr>
      <w:rFonts w:ascii="Calibri" w:eastAsia="宋体"/>
      <w:sz w:val="21"/>
    </w:rPr>
  </w:style>
  <w:style w:type="paragraph" w:styleId="6">
    <w:name w:val="Normal Indent"/>
    <w:basedOn w:val="1"/>
    <w:next w:val="1"/>
    <w:qFormat/>
    <w:uiPriority w:val="99"/>
    <w:pPr>
      <w:ind w:firstLine="420"/>
    </w:pPr>
    <w:rPr>
      <w:rFonts w:ascii="Calibri" w:eastAsia="宋体"/>
      <w:sz w:val="21"/>
      <w:szCs w:val="22"/>
    </w:rPr>
  </w:style>
  <w:style w:type="paragraph" w:styleId="7">
    <w:name w:val="annotation text"/>
    <w:basedOn w:val="1"/>
    <w:link w:val="29"/>
    <w:qFormat/>
    <w:uiPriority w:val="0"/>
    <w:pPr>
      <w:jc w:val="left"/>
    </w:pPr>
    <w:rPr>
      <w:rFonts w:ascii="Calibri" w:eastAsia="宋体"/>
      <w:sz w:val="21"/>
    </w:rPr>
  </w:style>
  <w:style w:type="paragraph" w:styleId="8">
    <w:name w:val="Salutation"/>
    <w:basedOn w:val="1"/>
    <w:next w:val="1"/>
    <w:link w:val="30"/>
    <w:qFormat/>
    <w:uiPriority w:val="0"/>
    <w:rPr>
      <w:rFonts w:ascii="Times New Roman" w:hAnsi="Times New Roman" w:eastAsia="宋体"/>
      <w:sz w:val="21"/>
    </w:rPr>
  </w:style>
  <w:style w:type="paragraph" w:styleId="9">
    <w:name w:val="Body Text Indent"/>
    <w:basedOn w:val="1"/>
    <w:link w:val="39"/>
    <w:unhideWhenUsed/>
    <w:qFormat/>
    <w:uiPriority w:val="0"/>
    <w:pPr>
      <w:spacing w:after="120"/>
      <w:ind w:left="420" w:leftChars="200"/>
    </w:pPr>
  </w:style>
  <w:style w:type="paragraph" w:styleId="10">
    <w:name w:val="Body Text Indent 2"/>
    <w:basedOn w:val="1"/>
    <w:qFormat/>
    <w:uiPriority w:val="0"/>
    <w:pPr>
      <w:spacing w:after="120" w:line="480" w:lineRule="auto"/>
      <w:ind w:left="420" w:leftChars="200"/>
    </w:pPr>
    <w:rPr>
      <w:szCs w:val="32"/>
    </w:rPr>
  </w:style>
  <w:style w:type="paragraph" w:styleId="11">
    <w:name w:val="footer"/>
    <w:basedOn w:val="1"/>
    <w:link w:val="25"/>
    <w:qFormat/>
    <w:uiPriority w:val="0"/>
    <w:pPr>
      <w:tabs>
        <w:tab w:val="center" w:pos="4153"/>
        <w:tab w:val="right" w:pos="8306"/>
      </w:tabs>
      <w:snapToGrid w:val="0"/>
      <w:jc w:val="left"/>
    </w:pPr>
    <w:rPr>
      <w:sz w:val="18"/>
      <w:szCs w:val="18"/>
    </w:rPr>
  </w:style>
  <w:style w:type="paragraph" w:styleId="12">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3">
    <w:name w:val="footnote text"/>
    <w:basedOn w:val="1"/>
    <w:link w:val="31"/>
    <w:qFormat/>
    <w:uiPriority w:val="0"/>
    <w:pPr>
      <w:snapToGrid w:val="0"/>
      <w:jc w:val="left"/>
    </w:pPr>
    <w:rPr>
      <w:rFonts w:ascii="Calibri" w:eastAsia="宋体"/>
      <w:sz w:val="18"/>
    </w:rPr>
  </w:style>
  <w:style w:type="paragraph" w:styleId="14">
    <w:name w:val="Normal (Web)"/>
    <w:basedOn w:val="1"/>
    <w:qFormat/>
    <w:uiPriority w:val="0"/>
    <w:pPr>
      <w:spacing w:before="100" w:beforeAutospacing="1" w:after="100" w:afterAutospacing="1"/>
      <w:jc w:val="left"/>
    </w:pPr>
    <w:rPr>
      <w:kern w:val="0"/>
      <w:sz w:val="24"/>
    </w:rPr>
  </w:style>
  <w:style w:type="paragraph" w:styleId="15">
    <w:name w:val="Title"/>
    <w:basedOn w:val="1"/>
    <w:next w:val="1"/>
    <w:qFormat/>
    <w:uiPriority w:val="0"/>
    <w:pPr>
      <w:spacing w:before="240" w:after="60"/>
      <w:jc w:val="center"/>
      <w:outlineLvl w:val="0"/>
    </w:pPr>
    <w:rPr>
      <w:rFonts w:eastAsia="宋体" w:asciiTheme="majorHAnsi" w:hAnsiTheme="majorHAnsi" w:cstheme="majorBidi"/>
      <w:b/>
      <w:bCs/>
      <w:szCs w:val="32"/>
    </w:rPr>
  </w:style>
  <w:style w:type="paragraph" w:styleId="16">
    <w:name w:val="Body Text First Indent"/>
    <w:basedOn w:val="2"/>
    <w:link w:val="33"/>
    <w:qFormat/>
    <w:uiPriority w:val="0"/>
    <w:pPr>
      <w:spacing w:before="100" w:beforeAutospacing="1"/>
      <w:ind w:firstLine="420" w:firstLineChars="100"/>
    </w:pPr>
    <w:rPr>
      <w:rFonts w:ascii="Calibri" w:hAnsi="Calibri" w:eastAsia="宋体" w:cs="Times New Roman"/>
      <w:sz w:val="21"/>
      <w:szCs w:val="24"/>
    </w:rPr>
  </w:style>
  <w:style w:type="paragraph" w:styleId="17">
    <w:name w:val="Body Text First Indent 2"/>
    <w:basedOn w:val="1"/>
    <w:link w:val="40"/>
    <w:unhideWhenUsed/>
    <w:qFormat/>
    <w:uiPriority w:val="0"/>
    <w:pPr>
      <w:ind w:firstLine="420" w:firstLineChars="200"/>
    </w:pPr>
  </w:style>
  <w:style w:type="table" w:styleId="19">
    <w:name w:val="Table Grid"/>
    <w:basedOn w:val="18"/>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qFormat/>
    <w:uiPriority w:val="0"/>
    <w:rPr>
      <w:rFonts w:ascii="Calibri" w:hAnsi="Calibri" w:eastAsia="宋体" w:cs="宋体"/>
      <w:b/>
    </w:rPr>
  </w:style>
  <w:style w:type="character" w:styleId="22">
    <w:name w:val="Emphasis"/>
    <w:qFormat/>
    <w:uiPriority w:val="20"/>
    <w:rPr>
      <w:i/>
    </w:rPr>
  </w:style>
  <w:style w:type="character" w:styleId="23">
    <w:name w:val="annotation reference"/>
    <w:qFormat/>
    <w:uiPriority w:val="0"/>
    <w:rPr>
      <w:sz w:val="21"/>
      <w:szCs w:val="21"/>
    </w:rPr>
  </w:style>
  <w:style w:type="character" w:styleId="24">
    <w:name w:val="footnote reference"/>
    <w:qFormat/>
    <w:uiPriority w:val="0"/>
    <w:rPr>
      <w:vertAlign w:val="superscript"/>
    </w:rPr>
  </w:style>
  <w:style w:type="character" w:customStyle="1" w:styleId="25">
    <w:name w:val="页脚 字符"/>
    <w:link w:val="11"/>
    <w:qFormat/>
    <w:uiPriority w:val="0"/>
    <w:rPr>
      <w:rFonts w:ascii="仿宋_GB2312" w:eastAsia="仿宋_GB2312"/>
      <w:kern w:val="2"/>
      <w:sz w:val="18"/>
      <w:szCs w:val="18"/>
    </w:rPr>
  </w:style>
  <w:style w:type="character" w:customStyle="1" w:styleId="26">
    <w:name w:val="页眉 字符"/>
    <w:link w:val="12"/>
    <w:qFormat/>
    <w:uiPriority w:val="0"/>
    <w:rPr>
      <w:rFonts w:ascii="仿宋_GB2312" w:eastAsia="仿宋_GB2312"/>
      <w:kern w:val="2"/>
      <w:sz w:val="18"/>
      <w:szCs w:val="18"/>
    </w:rPr>
  </w:style>
  <w:style w:type="character" w:customStyle="1" w:styleId="27">
    <w:name w:val="标题 1 字符"/>
    <w:link w:val="3"/>
    <w:qFormat/>
    <w:uiPriority w:val="0"/>
    <w:rPr>
      <w:rFonts w:ascii="宋体" w:hAnsi="宋体"/>
      <w:b/>
      <w:bCs/>
      <w:kern w:val="44"/>
      <w:sz w:val="48"/>
      <w:szCs w:val="48"/>
    </w:rPr>
  </w:style>
  <w:style w:type="character" w:customStyle="1" w:styleId="28">
    <w:name w:val="注释标题 字符"/>
    <w:link w:val="5"/>
    <w:qFormat/>
    <w:uiPriority w:val="0"/>
    <w:rPr>
      <w:kern w:val="2"/>
      <w:sz w:val="21"/>
      <w:szCs w:val="24"/>
    </w:rPr>
  </w:style>
  <w:style w:type="character" w:customStyle="1" w:styleId="29">
    <w:name w:val="批注文字 字符"/>
    <w:link w:val="7"/>
    <w:qFormat/>
    <w:uiPriority w:val="0"/>
    <w:rPr>
      <w:kern w:val="2"/>
      <w:sz w:val="21"/>
      <w:szCs w:val="24"/>
    </w:rPr>
  </w:style>
  <w:style w:type="character" w:customStyle="1" w:styleId="30">
    <w:name w:val="称呼 字符"/>
    <w:link w:val="8"/>
    <w:qFormat/>
    <w:uiPriority w:val="0"/>
    <w:rPr>
      <w:rFonts w:ascii="Times New Roman" w:hAnsi="Times New Roman"/>
      <w:kern w:val="2"/>
      <w:sz w:val="21"/>
      <w:szCs w:val="24"/>
    </w:rPr>
  </w:style>
  <w:style w:type="character" w:customStyle="1" w:styleId="31">
    <w:name w:val="脚注文本 字符"/>
    <w:link w:val="13"/>
    <w:qFormat/>
    <w:uiPriority w:val="0"/>
    <w:rPr>
      <w:kern w:val="2"/>
      <w:sz w:val="18"/>
      <w:szCs w:val="24"/>
    </w:rPr>
  </w:style>
  <w:style w:type="character" w:customStyle="1" w:styleId="32">
    <w:name w:val="正文文本 字符"/>
    <w:link w:val="2"/>
    <w:qFormat/>
    <w:uiPriority w:val="0"/>
    <w:rPr>
      <w:rFonts w:ascii="Times New Roman" w:hAnsi="Times New Roman" w:eastAsia="仿宋_GB2312" w:cs="宋体"/>
      <w:kern w:val="2"/>
      <w:sz w:val="32"/>
      <w:szCs w:val="21"/>
    </w:rPr>
  </w:style>
  <w:style w:type="character" w:customStyle="1" w:styleId="33">
    <w:name w:val="正文文本首行缩进 字符"/>
    <w:link w:val="16"/>
    <w:qFormat/>
    <w:uiPriority w:val="0"/>
    <w:rPr>
      <w:rFonts w:ascii="Times New Roman" w:hAnsi="Times New Roman" w:eastAsia="仿宋_GB2312" w:cs="宋体"/>
      <w:kern w:val="2"/>
      <w:sz w:val="21"/>
      <w:szCs w:val="24"/>
    </w:rPr>
  </w:style>
  <w:style w:type="paragraph" w:styleId="34">
    <w:name w:val="List Paragraph"/>
    <w:basedOn w:val="1"/>
    <w:qFormat/>
    <w:uiPriority w:val="34"/>
    <w:pPr>
      <w:ind w:firstLine="420" w:firstLineChars="200"/>
    </w:pPr>
    <w:rPr>
      <w:rFonts w:ascii="Calibri" w:eastAsia="宋体"/>
      <w:sz w:val="21"/>
    </w:rPr>
  </w:style>
  <w:style w:type="paragraph" w:customStyle="1" w:styleId="35">
    <w:name w:val="Table caption|1"/>
    <w:basedOn w:val="1"/>
    <w:qFormat/>
    <w:uiPriority w:val="0"/>
    <w:pPr>
      <w:spacing w:after="180" w:line="562" w:lineRule="exact"/>
    </w:pPr>
    <w:rPr>
      <w:rFonts w:ascii="宋体" w:hAnsi="宋体" w:eastAsia="宋体" w:cs="宋体"/>
      <w:sz w:val="28"/>
      <w:szCs w:val="28"/>
      <w:lang w:val="zh-TW" w:eastAsia="zh-TW" w:bidi="zh-TW"/>
    </w:rPr>
  </w:style>
  <w:style w:type="paragraph" w:customStyle="1" w:styleId="36">
    <w:name w:val="Other|1"/>
    <w:basedOn w:val="1"/>
    <w:qFormat/>
    <w:uiPriority w:val="0"/>
    <w:pPr>
      <w:spacing w:line="470" w:lineRule="auto"/>
      <w:ind w:firstLine="400"/>
    </w:pPr>
    <w:rPr>
      <w:rFonts w:ascii="宋体" w:hAnsi="宋体" w:eastAsia="宋体" w:cs="宋体"/>
      <w:sz w:val="28"/>
      <w:szCs w:val="28"/>
      <w:lang w:val="zh-TW" w:eastAsia="zh-TW" w:bidi="zh-TW"/>
    </w:rPr>
  </w:style>
  <w:style w:type="character" w:customStyle="1" w:styleId="37">
    <w:name w:val="fontstyle01"/>
    <w:qFormat/>
    <w:uiPriority w:val="0"/>
    <w:rPr>
      <w:rFonts w:ascii="仿宋_GB2312" w:hAnsi="Calibri" w:eastAsia="仿宋_GB2312"/>
      <w:color w:val="000000"/>
      <w:sz w:val="32"/>
    </w:rPr>
  </w:style>
  <w:style w:type="paragraph" w:customStyle="1" w:styleId="38">
    <w:name w:val="修订1"/>
    <w:hidden/>
    <w:semiHidden/>
    <w:qFormat/>
    <w:uiPriority w:val="99"/>
    <w:rPr>
      <w:rFonts w:ascii="Calibri" w:hAnsi="Calibri" w:eastAsia="宋体" w:cs="Times New Roman"/>
      <w:kern w:val="2"/>
      <w:sz w:val="21"/>
      <w:szCs w:val="24"/>
      <w:lang w:val="en-US" w:eastAsia="zh-CN" w:bidi="ar-SA"/>
    </w:rPr>
  </w:style>
  <w:style w:type="character" w:customStyle="1" w:styleId="39">
    <w:name w:val="正文文本缩进 字符"/>
    <w:basedOn w:val="20"/>
    <w:link w:val="9"/>
    <w:qFormat/>
    <w:uiPriority w:val="0"/>
    <w:rPr>
      <w:rFonts w:ascii="仿宋_GB2312" w:eastAsia="仿宋_GB2312"/>
      <w:kern w:val="2"/>
      <w:sz w:val="32"/>
      <w:szCs w:val="24"/>
    </w:rPr>
  </w:style>
  <w:style w:type="character" w:customStyle="1" w:styleId="40">
    <w:name w:val="正文文本首行缩进 2 字符"/>
    <w:basedOn w:val="39"/>
    <w:link w:val="17"/>
    <w:qFormat/>
    <w:uiPriority w:val="0"/>
    <w:rPr>
      <w:rFonts w:ascii="仿宋_GB2312" w:eastAsia="仿宋_GB2312"/>
      <w:kern w:val="2"/>
      <w:sz w:val="32"/>
      <w:szCs w:val="24"/>
    </w:rPr>
  </w:style>
  <w:style w:type="table" w:customStyle="1" w:styleId="41">
    <w:name w:val="网格型1"/>
    <w:basedOn w:val="18"/>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2">
    <w:name w:val="修订2"/>
    <w:hidden/>
    <w:semiHidden/>
    <w:qFormat/>
    <w:uiPriority w:val="99"/>
    <w:rPr>
      <w:rFonts w:ascii="仿宋_GB2312" w:hAnsi="Calibri" w:eastAsia="仿宋_GB2312" w:cs="Times New Roman"/>
      <w:kern w:val="2"/>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DF6C6-352F-4C5D-9E6F-41E438AECDE6}">
  <ds:schemaRefs/>
</ds:datastoreItem>
</file>

<file path=docProps/app.xml><?xml version="1.0" encoding="utf-8"?>
<Properties xmlns="http://schemas.openxmlformats.org/officeDocument/2006/extended-properties" xmlns:vt="http://schemas.openxmlformats.org/officeDocument/2006/docPropsVTypes">
  <Template>Normal.dotm</Template>
  <Pages>49</Pages>
  <Words>21790</Words>
  <Characters>22359</Characters>
  <Lines>181</Lines>
  <Paragraphs>51</Paragraphs>
  <TotalTime>7</TotalTime>
  <ScaleCrop>false</ScaleCrop>
  <LinksUpToDate>false</LinksUpToDate>
  <CharactersWithSpaces>22588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2023-06-06T06:37:00Z</dcterms:created>
  <dc:creator>to小兔</dc:creator>
  <cp:lastModifiedBy>吴玉成</cp:lastModifiedBy>
  <cp:lastPrinted>2023-07-25T09:28:43Z</cp:lastPrinted>
  <dcterms:modified xsi:type="dcterms:W3CDTF">2023-07-25T09:42:18Z</dcterms:modified>
  <cp:revision>143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09786ACE18CF4653BB8047A7D6C1D3D3_13</vt:lpwstr>
  </property>
</Properties>
</file>